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25C8B" w:rsidRDefault="00D97234">
      <w:pPr>
        <w:pStyle w:val="a4"/>
      </w:pPr>
      <w:r>
        <w:rPr>
          <w:rFonts w:hint="eastAsia"/>
          <w:spacing w:val="-1"/>
        </w:rPr>
        <w:t>攀赢基金</w:t>
      </w:r>
      <w:r w:rsidR="00E700FA">
        <w:rPr>
          <w:spacing w:val="-1"/>
        </w:rPr>
        <w:t>传真委托协议书</w:t>
      </w:r>
    </w:p>
    <w:p w:rsidR="00225C8B" w:rsidRDefault="00225C8B">
      <w:pPr>
        <w:pStyle w:val="a3"/>
        <w:spacing w:before="13"/>
        <w:ind w:left="0"/>
        <w:rPr>
          <w:b/>
          <w:sz w:val="21"/>
        </w:rPr>
      </w:pPr>
    </w:p>
    <w:p w:rsidR="00225C8B" w:rsidRDefault="00E700FA">
      <w:pPr>
        <w:pStyle w:val="a3"/>
        <w:tabs>
          <w:tab w:val="left" w:pos="561"/>
        </w:tabs>
        <w:spacing w:before="0"/>
        <w:ind w:left="112"/>
      </w:pPr>
      <w:r>
        <w:t>甲</w:t>
      </w:r>
      <w:r>
        <w:tab/>
        <w:t>方：</w:t>
      </w:r>
    </w:p>
    <w:p w:rsidR="00225C8B" w:rsidRDefault="00E700FA">
      <w:pPr>
        <w:pStyle w:val="a3"/>
        <w:tabs>
          <w:tab w:val="left" w:pos="561"/>
        </w:tabs>
        <w:ind w:left="112"/>
      </w:pPr>
      <w:r>
        <w:t>乙</w:t>
      </w:r>
      <w:r>
        <w:tab/>
        <w:t>方：上海</w:t>
      </w:r>
      <w:r w:rsidR="008A1B91">
        <w:t>攀赢</w:t>
      </w:r>
      <w:r>
        <w:t>基金销售有限公司</w:t>
      </w:r>
    </w:p>
    <w:p w:rsidR="00225C8B" w:rsidRDefault="00E700FA">
      <w:pPr>
        <w:pStyle w:val="a3"/>
        <w:spacing w:before="137" w:line="338" w:lineRule="auto"/>
        <w:ind w:left="112" w:right="202" w:firstLine="360"/>
      </w:pPr>
      <w:r>
        <w:rPr>
          <w:spacing w:val="-2"/>
        </w:rPr>
        <w:t>根据国家相关法律、法规的规定，甲乙双方本着平等、自愿的原则，经双方友好协商，就甲方采用传真委托方式向乙方提交产</w:t>
      </w:r>
      <w:r>
        <w:t>品业务申请事宜达成如下协议：</w:t>
      </w:r>
    </w:p>
    <w:p w:rsidR="00225C8B" w:rsidRDefault="00E700FA">
      <w:pPr>
        <w:pStyle w:val="1"/>
      </w:pPr>
      <w:r>
        <w:rPr>
          <w:spacing w:val="5"/>
        </w:rPr>
        <w:t>第一条 释义</w:t>
      </w:r>
    </w:p>
    <w:p w:rsidR="00225C8B" w:rsidRDefault="00E700FA">
      <w:pPr>
        <w:pStyle w:val="a3"/>
      </w:pPr>
      <w:r>
        <w:t>除非本协议另有规定，下列词语具有如下含义：</w:t>
      </w:r>
    </w:p>
    <w:p w:rsidR="00225C8B" w:rsidRDefault="00E700FA">
      <w:pPr>
        <w:pStyle w:val="a3"/>
        <w:spacing w:before="137"/>
      </w:pPr>
      <w:r>
        <w:t>1、传真委托服务：是指乙方按照本协议的规定，为投资人（甲方）提供的，通过传真方式办理产品业务的服务。</w:t>
      </w:r>
    </w:p>
    <w:p w:rsidR="00225C8B" w:rsidRDefault="00E700FA">
      <w:pPr>
        <w:pStyle w:val="a3"/>
      </w:pPr>
      <w:r>
        <w:t>2、投资人（甲方</w:t>
      </w:r>
      <w:r>
        <w:rPr>
          <w:spacing w:val="-92"/>
        </w:rPr>
        <w:t>）</w:t>
      </w:r>
      <w:r>
        <w:t>：指依照乙方所代销产品的产品合同和产品相关法律文件的规定，通过传真方式办理产品业务的投资者。</w:t>
      </w:r>
    </w:p>
    <w:p w:rsidR="00225C8B" w:rsidRDefault="00E700FA">
      <w:pPr>
        <w:pStyle w:val="a3"/>
      </w:pPr>
      <w:r>
        <w:t>3、产品账户：指注册登记机构为投资人开立的记录其持有乙方所代销的产品的份额、份额变动情况及基本资料的账户。</w:t>
      </w:r>
    </w:p>
    <w:p w:rsidR="00225C8B" w:rsidRDefault="00E700FA">
      <w:pPr>
        <w:pStyle w:val="a3"/>
        <w:spacing w:before="137"/>
      </w:pPr>
      <w:r>
        <w:t>4、交易账户：是指甲方开立的记录其通过乙方买卖乙方所代销的产品份额及变动情况的账户。</w:t>
      </w:r>
    </w:p>
    <w:p w:rsidR="00225C8B" w:rsidRDefault="00E700FA">
      <w:pPr>
        <w:pStyle w:val="a3"/>
      </w:pPr>
      <w:r>
        <w:t>5、认购：是指产品设立募集期内，甲方申请购买产品份额的行为。</w:t>
      </w:r>
    </w:p>
    <w:p w:rsidR="00225C8B" w:rsidRDefault="00E700FA">
      <w:pPr>
        <w:pStyle w:val="a3"/>
      </w:pPr>
      <w:r>
        <w:t>6、申购：是指产品合同生效后，甲方申请购买产品份额的行为。</w:t>
      </w:r>
    </w:p>
    <w:p w:rsidR="00225C8B" w:rsidRDefault="00E700FA">
      <w:pPr>
        <w:pStyle w:val="a3"/>
      </w:pPr>
      <w:r>
        <w:t>7、赎回：是指开放式产品成立之后的存续期内，持有产品份额的投资人要求产品管理人购回产品份额的行为。</w:t>
      </w:r>
    </w:p>
    <w:p w:rsidR="00225C8B" w:rsidRDefault="00E700FA">
      <w:pPr>
        <w:pStyle w:val="a3"/>
        <w:spacing w:before="137"/>
      </w:pPr>
      <w:r>
        <w:t>8、转换：指甲方申请通过乙方交易平台购买并持有的某一产品份额转换为乙方销售的其他产品的产品份额的行为。</w:t>
      </w:r>
    </w:p>
    <w:p w:rsidR="00225C8B" w:rsidRDefault="00E700FA">
      <w:pPr>
        <w:pStyle w:val="a3"/>
      </w:pPr>
      <w:r>
        <w:t>9、产品份额净值：是指计算日资产净值除以计算日份额总数后的价值。</w:t>
      </w:r>
    </w:p>
    <w:p w:rsidR="00225C8B" w:rsidRDefault="00E700FA">
      <w:pPr>
        <w:pStyle w:val="a3"/>
      </w:pPr>
      <w:r>
        <w:t>10、T</w:t>
      </w:r>
      <w:r>
        <w:rPr>
          <w:spacing w:val="-3"/>
        </w:rPr>
        <w:t xml:space="preserve"> 日：是指乙方确认的甲方提交有效申请的工作日。</w:t>
      </w:r>
    </w:p>
    <w:p w:rsidR="00225C8B" w:rsidRDefault="00E700FA">
      <w:pPr>
        <w:pStyle w:val="a3"/>
        <w:spacing w:before="137"/>
      </w:pPr>
      <w:r>
        <w:t>11、T＋n</w:t>
      </w:r>
      <w:r>
        <w:rPr>
          <w:spacing w:val="-4"/>
        </w:rPr>
        <w:t xml:space="preserve"> 日：是指 </w:t>
      </w:r>
      <w:r>
        <w:t>T</w:t>
      </w:r>
      <w:r>
        <w:rPr>
          <w:spacing w:val="8"/>
        </w:rPr>
        <w:t xml:space="preserve"> 日后第</w:t>
      </w:r>
      <w:r>
        <w:t>n</w:t>
      </w:r>
      <w:r>
        <w:rPr>
          <w:spacing w:val="-3"/>
        </w:rPr>
        <w:t xml:space="preserve"> 个工作日</w:t>
      </w:r>
      <w:r>
        <w:t>（</w:t>
      </w:r>
      <w:r>
        <w:rPr>
          <w:spacing w:val="-2"/>
        </w:rPr>
        <w:t xml:space="preserve">不包含 </w:t>
      </w:r>
      <w:r>
        <w:t>T</w:t>
      </w:r>
      <w:r>
        <w:rPr>
          <w:spacing w:val="-4"/>
        </w:rPr>
        <w:t xml:space="preserve"> 日</w:t>
      </w:r>
      <w:r>
        <w:rPr>
          <w:spacing w:val="-92"/>
        </w:rPr>
        <w:t>）</w:t>
      </w:r>
      <w:r>
        <w:t>。</w:t>
      </w:r>
    </w:p>
    <w:p w:rsidR="00225C8B" w:rsidRDefault="00E700FA">
      <w:pPr>
        <w:pStyle w:val="a3"/>
      </w:pPr>
      <w:r>
        <w:t>12、工作日：是指上海证券交易所或深圳证券交易所的正常交易日。</w:t>
      </w:r>
    </w:p>
    <w:p w:rsidR="00225C8B" w:rsidRDefault="00E700FA">
      <w:pPr>
        <w:pStyle w:val="a3"/>
      </w:pPr>
      <w:r>
        <w:t>13、开放日：是指乙方为甲方办理交易业务的工作日。</w:t>
      </w:r>
    </w:p>
    <w:p w:rsidR="00225C8B" w:rsidRDefault="00E700FA">
      <w:pPr>
        <w:pStyle w:val="1"/>
        <w:spacing w:before="136"/>
      </w:pPr>
      <w:r>
        <w:rPr>
          <w:spacing w:val="3"/>
        </w:rPr>
        <w:t>第二条 服务内容</w:t>
      </w:r>
    </w:p>
    <w:p w:rsidR="00225C8B" w:rsidRDefault="00E700FA">
      <w:pPr>
        <w:pStyle w:val="a3"/>
        <w:spacing w:before="137" w:line="338" w:lineRule="auto"/>
        <w:ind w:left="112" w:right="206" w:firstLine="360"/>
      </w:pPr>
      <w:r>
        <w:rPr>
          <w:spacing w:val="-2"/>
        </w:rPr>
        <w:t>协议所述传真委托服务的内容包括：账户开立及资料变更业务、认购、申购、赎回、转换、撤单、设置分红方式、相关信息查</w:t>
      </w:r>
      <w:r>
        <w:t>询及其他业务。</w:t>
      </w:r>
    </w:p>
    <w:p w:rsidR="00225C8B" w:rsidRDefault="00E700FA">
      <w:pPr>
        <w:pStyle w:val="1"/>
      </w:pPr>
      <w:r>
        <w:rPr>
          <w:spacing w:val="3"/>
        </w:rPr>
        <w:t>第三条 风险提示</w:t>
      </w:r>
    </w:p>
    <w:p w:rsidR="00225C8B" w:rsidRDefault="00E700FA">
      <w:pPr>
        <w:pStyle w:val="a3"/>
        <w:spacing w:before="137"/>
      </w:pPr>
      <w:r>
        <w:t>1、甲方在申请使用乙方交易系统时，已完全了解以下内容：</w:t>
      </w:r>
    </w:p>
    <w:p w:rsidR="00225C8B" w:rsidRDefault="00E700FA">
      <w:pPr>
        <w:pStyle w:val="a5"/>
        <w:numPr>
          <w:ilvl w:val="0"/>
          <w:numId w:val="2"/>
        </w:numPr>
        <w:tabs>
          <w:tab w:val="left" w:pos="940"/>
        </w:tabs>
        <w:spacing w:line="338" w:lineRule="auto"/>
        <w:ind w:right="116" w:firstLine="360"/>
        <w:rPr>
          <w:sz w:val="18"/>
        </w:rPr>
      </w:pPr>
      <w:r>
        <w:rPr>
          <w:spacing w:val="-1"/>
          <w:sz w:val="18"/>
        </w:rPr>
        <w:t>证券投资基金</w:t>
      </w:r>
      <w:r>
        <w:rPr>
          <w:sz w:val="18"/>
        </w:rPr>
        <w:t>（</w:t>
      </w:r>
      <w:r>
        <w:rPr>
          <w:spacing w:val="-8"/>
          <w:sz w:val="18"/>
        </w:rPr>
        <w:t>以下简称“基金”</w:t>
      </w:r>
      <w:r>
        <w:rPr>
          <w:spacing w:val="-61"/>
          <w:sz w:val="18"/>
        </w:rPr>
        <w:t>）</w:t>
      </w:r>
      <w:r>
        <w:rPr>
          <w:sz w:val="18"/>
        </w:rPr>
        <w:t>是一种长期投资工具，其主要功能是分散投资，降低投资单一证券所带来的个别风险</w:t>
      </w:r>
      <w:r>
        <w:rPr>
          <w:spacing w:val="-1"/>
          <w:sz w:val="18"/>
        </w:rPr>
        <w:t>。基金不同于银行储蓄和债券等能够提供固定收益预期的金融工具，投资人购买基金，既可能按其持有份额分享基金投资所产生的</w:t>
      </w:r>
      <w:r>
        <w:rPr>
          <w:sz w:val="18"/>
        </w:rPr>
        <w:t>收益，也可能承担基金投资所带来的损失。</w:t>
      </w:r>
    </w:p>
    <w:p w:rsidR="00225C8B" w:rsidRDefault="00225C8B">
      <w:pPr>
        <w:spacing w:line="338" w:lineRule="auto"/>
        <w:rPr>
          <w:sz w:val="18"/>
        </w:rPr>
        <w:sectPr w:rsidR="00225C8B">
          <w:headerReference w:type="default" r:id="rId7"/>
          <w:footerReference w:type="default" r:id="rId8"/>
          <w:type w:val="continuous"/>
          <w:pgSz w:w="11900" w:h="16850"/>
          <w:pgMar w:top="1500" w:right="640" w:bottom="1500" w:left="740" w:header="850" w:footer="1313" w:gutter="0"/>
          <w:pgNumType w:start="1"/>
          <w:cols w:space="720"/>
        </w:sectPr>
      </w:pPr>
    </w:p>
    <w:p w:rsidR="00225C8B" w:rsidRDefault="00E700FA">
      <w:pPr>
        <w:pStyle w:val="a5"/>
        <w:numPr>
          <w:ilvl w:val="0"/>
          <w:numId w:val="2"/>
        </w:numPr>
        <w:tabs>
          <w:tab w:val="left" w:pos="940"/>
        </w:tabs>
        <w:spacing w:before="43" w:line="338" w:lineRule="auto"/>
        <w:ind w:right="145" w:firstLine="360"/>
        <w:jc w:val="both"/>
        <w:rPr>
          <w:sz w:val="18"/>
        </w:rPr>
      </w:pPr>
      <w:r>
        <w:rPr>
          <w:sz w:val="18"/>
        </w:rPr>
        <w:lastRenderedPageBreak/>
        <w:t>各类资产管理计划产品在投资运作过程中可能面临各种风险，既包括市场风险，也包括产品自身的管理风险、技术风险</w:t>
      </w:r>
      <w:r>
        <w:rPr>
          <w:spacing w:val="-1"/>
          <w:sz w:val="18"/>
        </w:rPr>
        <w:t>和合规风险等。巨额赎回风险是开放式基金所特有的一种风险，即当单个交易日基金的净赎回申请超过基金总份额的百分之十时，</w:t>
      </w:r>
      <w:r>
        <w:rPr>
          <w:spacing w:val="-51"/>
          <w:sz w:val="18"/>
        </w:rPr>
        <w:t xml:space="preserve"> </w:t>
      </w:r>
      <w:r>
        <w:rPr>
          <w:sz w:val="18"/>
        </w:rPr>
        <w:t>投资人将可能无法及时赎回持有的全部基金份额。</w:t>
      </w:r>
    </w:p>
    <w:p w:rsidR="00225C8B" w:rsidRDefault="00E700FA">
      <w:pPr>
        <w:pStyle w:val="a5"/>
        <w:numPr>
          <w:ilvl w:val="0"/>
          <w:numId w:val="2"/>
        </w:numPr>
        <w:tabs>
          <w:tab w:val="left" w:pos="940"/>
        </w:tabs>
        <w:spacing w:before="0" w:line="338" w:lineRule="auto"/>
        <w:ind w:right="143" w:firstLine="360"/>
        <w:jc w:val="both"/>
        <w:rPr>
          <w:sz w:val="18"/>
        </w:rPr>
      </w:pPr>
      <w:r>
        <w:rPr>
          <w:sz w:val="18"/>
        </w:rPr>
        <w:t>资产管理计划产品分为固定收益类、权益类、混合类、商品及金融衍生品类等不同类型。其中，公开募集证券投资基金</w:t>
      </w:r>
      <w:r>
        <w:rPr>
          <w:spacing w:val="-1"/>
          <w:sz w:val="18"/>
        </w:rPr>
        <w:t>可分为股票基金、混合基金、债券基金、货币市场基金、基金中基金等不同类型。投资人投资不同类型的产品将获得不同的收益预期，也将承担不同程度的风险。一般来说，产品的收益预期越高，投资人承担的风险也越大，根据产品的类型及各产品投资比例，</w:t>
      </w:r>
      <w:r>
        <w:rPr>
          <w:spacing w:val="-51"/>
          <w:sz w:val="18"/>
        </w:rPr>
        <w:t xml:space="preserve"> </w:t>
      </w:r>
      <w:r>
        <w:rPr>
          <w:sz w:val="18"/>
        </w:rPr>
        <w:t>不同风险偏好类型匹配不同风险等级的产品。</w:t>
      </w:r>
    </w:p>
    <w:p w:rsidR="00225C8B" w:rsidRDefault="00E700FA">
      <w:pPr>
        <w:pStyle w:val="a5"/>
        <w:numPr>
          <w:ilvl w:val="0"/>
          <w:numId w:val="2"/>
        </w:numPr>
        <w:tabs>
          <w:tab w:val="left" w:pos="940"/>
        </w:tabs>
        <w:spacing w:before="1" w:line="338" w:lineRule="auto"/>
        <w:ind w:right="209" w:firstLine="360"/>
        <w:rPr>
          <w:sz w:val="18"/>
        </w:rPr>
      </w:pPr>
      <w:r>
        <w:rPr>
          <w:sz w:val="18"/>
        </w:rPr>
        <w:t>投资人应当认真阅读《产品合同》等产品相关法律文件，了解所投资产品的风险收益特征，并根据自身的投资目的、投资期限、投资经验、资产状况等判断产品是否和投资人的风险承受能力相适应。</w:t>
      </w:r>
    </w:p>
    <w:p w:rsidR="00225C8B" w:rsidRDefault="00E700FA">
      <w:pPr>
        <w:pStyle w:val="a5"/>
        <w:numPr>
          <w:ilvl w:val="0"/>
          <w:numId w:val="2"/>
        </w:numPr>
        <w:tabs>
          <w:tab w:val="left" w:pos="940"/>
        </w:tabs>
        <w:spacing w:before="1" w:line="338" w:lineRule="auto"/>
        <w:ind w:right="211" w:firstLine="360"/>
        <w:jc w:val="both"/>
        <w:rPr>
          <w:sz w:val="18"/>
        </w:rPr>
      </w:pPr>
      <w:r>
        <w:rPr>
          <w:sz w:val="18"/>
        </w:rPr>
        <w:t>投资人应当充分了解基金定投投资和零存整取等储蓄方式的区别。基金定投投资是引导投资人进行长期投资、平均投资</w:t>
      </w:r>
      <w:r>
        <w:rPr>
          <w:spacing w:val="-2"/>
          <w:sz w:val="18"/>
        </w:rPr>
        <w:t>成本的一种简单易行的投资方式。但是基金定投投资并不能规避基金投资所固有的风险，不能保证投资人获得收益，也不是替代储</w:t>
      </w:r>
      <w:r>
        <w:rPr>
          <w:sz w:val="18"/>
        </w:rPr>
        <w:t>蓄的等效理财方式。</w:t>
      </w:r>
    </w:p>
    <w:p w:rsidR="00225C8B" w:rsidRDefault="00E700FA">
      <w:pPr>
        <w:pStyle w:val="a5"/>
        <w:numPr>
          <w:ilvl w:val="0"/>
          <w:numId w:val="2"/>
        </w:numPr>
        <w:tabs>
          <w:tab w:val="left" w:pos="940"/>
        </w:tabs>
        <w:spacing w:before="0" w:line="338" w:lineRule="auto"/>
        <w:ind w:right="208" w:firstLine="360"/>
        <w:rPr>
          <w:sz w:val="18"/>
        </w:rPr>
      </w:pPr>
      <w:r>
        <w:rPr>
          <w:sz w:val="18"/>
        </w:rPr>
        <w:t>产品的过往业绩及其净值高低并不预示其未来业绩表现。根据“买者自负”原则，在做出投资决策后，产品的运营状况与产品净值或收益变化引致的投资风险，由投资人自行负担。</w:t>
      </w:r>
    </w:p>
    <w:p w:rsidR="00225C8B" w:rsidRDefault="00E700FA">
      <w:pPr>
        <w:pStyle w:val="a5"/>
        <w:numPr>
          <w:ilvl w:val="0"/>
          <w:numId w:val="2"/>
        </w:numPr>
        <w:tabs>
          <w:tab w:val="left" w:pos="940"/>
        </w:tabs>
        <w:spacing w:before="1" w:line="338" w:lineRule="auto"/>
        <w:ind w:right="207" w:firstLine="360"/>
        <w:jc w:val="both"/>
        <w:rPr>
          <w:sz w:val="18"/>
        </w:rPr>
      </w:pPr>
      <w:r>
        <w:rPr>
          <w:sz w:val="18"/>
        </w:rPr>
        <w:t>投资者可分为专业投资者和普通投资者。普通投资者在投资产品前，应该充分了解以下情况：（一）可能直接导致本金</w:t>
      </w:r>
      <w:r>
        <w:rPr>
          <w:spacing w:val="-2"/>
          <w:sz w:val="18"/>
        </w:rPr>
        <w:t>亏损的事项；（二）</w:t>
      </w:r>
      <w:r>
        <w:rPr>
          <w:spacing w:val="-1"/>
          <w:sz w:val="18"/>
        </w:rPr>
        <w:t>可能直接导致超过原始本金损失的事项；（三）因经营机构的业务或者财产状况变化，可能导致本金或者原始</w:t>
      </w:r>
      <w:r>
        <w:rPr>
          <w:spacing w:val="-2"/>
          <w:sz w:val="18"/>
        </w:rPr>
        <w:t>本金亏损的事项；（</w:t>
      </w:r>
      <w:r>
        <w:rPr>
          <w:spacing w:val="-1"/>
          <w:sz w:val="18"/>
        </w:rPr>
        <w:t>四）因经营机构的业务或者财产状况变化，影响投资人判断的重要事由；（五）限制销售对象权利行使期限或</w:t>
      </w:r>
      <w:r>
        <w:rPr>
          <w:spacing w:val="-2"/>
          <w:sz w:val="18"/>
        </w:rPr>
        <w:t>者可解除合同期限等全部限制内容；</w:t>
      </w:r>
      <w:r>
        <w:rPr>
          <w:spacing w:val="-1"/>
          <w:sz w:val="18"/>
        </w:rPr>
        <w:t>（六）证监会发布的《证券期货投资者适当性管理办法》及《实施规定》规定的适当性匹配意</w:t>
      </w:r>
      <w:r>
        <w:rPr>
          <w:sz w:val="18"/>
        </w:rPr>
        <w:t>见。</w:t>
      </w:r>
    </w:p>
    <w:p w:rsidR="00225C8B" w:rsidRDefault="00E700FA">
      <w:pPr>
        <w:pStyle w:val="a3"/>
        <w:spacing w:before="1" w:line="338" w:lineRule="auto"/>
        <w:ind w:left="112" w:right="207" w:firstLine="360"/>
      </w:pPr>
      <w:r>
        <w:t>3、投资人只有完成乙方账户开立流程并关联支付银行账户后，才完成传真委托开户的全部流程，即开立了传真委托的产品账户及交易账户。在关联支付银行账户前，投资人尚不能进行传真委托。</w:t>
      </w:r>
    </w:p>
    <w:p w:rsidR="00225C8B" w:rsidRDefault="00E700FA">
      <w:pPr>
        <w:pStyle w:val="1"/>
      </w:pPr>
      <w:r>
        <w:rPr>
          <w:spacing w:val="3"/>
        </w:rPr>
        <w:t>第四条 甲方承诺</w:t>
      </w:r>
    </w:p>
    <w:p w:rsidR="00225C8B" w:rsidRDefault="00E700FA">
      <w:pPr>
        <w:pStyle w:val="a3"/>
        <w:spacing w:before="137" w:line="338" w:lineRule="auto"/>
        <w:ind w:left="112" w:right="205" w:firstLine="360"/>
        <w:jc w:val="both"/>
      </w:pPr>
      <w:r>
        <w:t>1、甲方已充分、完全、准确地了解投资可能遭受的风险，并自愿承担因投资风险而导致的损失。若甲方满足《证券期货投资</w:t>
      </w:r>
      <w:r>
        <w:rPr>
          <w:spacing w:val="-2"/>
        </w:rPr>
        <w:t>者适当性管理办法》规定的专业机构投资者标准，甲方承诺自身具备丰富的投资经验、风险识别能力和风险承受能力，乙方无需按</w:t>
      </w:r>
      <w:r>
        <w:t>照普通投资者标准执行适当性管理。</w:t>
      </w:r>
    </w:p>
    <w:p w:rsidR="00225C8B" w:rsidRDefault="00E700FA">
      <w:pPr>
        <w:pStyle w:val="a3"/>
        <w:spacing w:before="1"/>
      </w:pPr>
      <w:r>
        <w:rPr>
          <w:spacing w:val="-1"/>
        </w:rPr>
        <w:t>2、甲方在签订本协议之前，已经详细阅读了本协议包括乙方免责条款在内的所有条款，并已充分、完全、准确地理解其含义。</w:t>
      </w:r>
    </w:p>
    <w:p w:rsidR="00225C8B" w:rsidRDefault="00E700FA">
      <w:pPr>
        <w:pStyle w:val="a3"/>
        <w:spacing w:line="338" w:lineRule="auto"/>
        <w:ind w:left="112" w:right="116" w:firstLine="360"/>
      </w:pPr>
      <w:r>
        <w:t>3、甲方确认已详细阅读并理解、接受乙方所代销产品的《产品合同》等相关法律文件、业务规则的所有内容及规定。甲方授</w:t>
      </w:r>
      <w:r>
        <w:rPr>
          <w:spacing w:val="-7"/>
        </w:rPr>
        <w:t>权乙方向产品管理人递交账户类及交易类申请，本协议一经签署双方完全接受其法律约束力。甲方自愿通过传真方式办理产品业务，</w:t>
      </w:r>
      <w:r>
        <w:rPr>
          <w:spacing w:val="-51"/>
        </w:rPr>
        <w:t xml:space="preserve"> </w:t>
      </w:r>
      <w:r>
        <w:t>并承诺传真委托业务视同甲方亲临乙方柜台办理。</w:t>
      </w:r>
    </w:p>
    <w:p w:rsidR="00225C8B" w:rsidRDefault="00225C8B">
      <w:pPr>
        <w:spacing w:line="338" w:lineRule="auto"/>
        <w:sectPr w:rsidR="00225C8B">
          <w:pgSz w:w="11900" w:h="16850"/>
          <w:pgMar w:top="1500" w:right="640" w:bottom="1500" w:left="740" w:header="850" w:footer="1313" w:gutter="0"/>
          <w:cols w:space="720"/>
        </w:sectPr>
      </w:pPr>
    </w:p>
    <w:p w:rsidR="00225C8B" w:rsidRDefault="00E700FA">
      <w:pPr>
        <w:pStyle w:val="a3"/>
        <w:spacing w:before="43"/>
      </w:pPr>
      <w:r>
        <w:lastRenderedPageBreak/>
        <w:t>4、甲方保证用于投资乙方所代销的产品的资金来源合法，否则由此引起的一切法律后果和责任均由甲方自行承担。</w:t>
      </w:r>
    </w:p>
    <w:p w:rsidR="00225C8B" w:rsidRDefault="00E700FA">
      <w:pPr>
        <w:pStyle w:val="a3"/>
        <w:spacing w:line="338" w:lineRule="auto"/>
        <w:ind w:left="112" w:right="115" w:firstLine="360"/>
      </w:pPr>
      <w:r>
        <w:t>5、甲方保证在任何情况下根据乙方要求所填写的信息（包括但不限于开立账户填写的相关信息，如姓名、资金结算账户等）</w:t>
      </w:r>
      <w:r>
        <w:rPr>
          <w:spacing w:val="1"/>
        </w:rPr>
        <w:t xml:space="preserve"> </w:t>
      </w:r>
      <w:r>
        <w:rPr>
          <w:spacing w:val="-14"/>
        </w:rPr>
        <w:t>真实、准确和有效，如有变化，甲方应及时更新相关资料。因甲方未能及时变更有关资料所导致的法律后果和损失由甲方自行承担。</w:t>
      </w:r>
      <w:r>
        <w:rPr>
          <w:spacing w:val="-11"/>
        </w:rPr>
        <w:t>甲方须承担因提供不真实、不完整、有误或无效信息而可能导致的一切法律后果和责任，包括对乙方或任何第三方的损害赔偿责任。</w:t>
      </w:r>
    </w:p>
    <w:p w:rsidR="00225C8B" w:rsidRDefault="00E700FA">
      <w:pPr>
        <w:pStyle w:val="a3"/>
        <w:spacing w:before="0" w:line="338" w:lineRule="auto"/>
        <w:ind w:left="112" w:right="203" w:firstLine="360"/>
        <w:jc w:val="both"/>
      </w:pPr>
      <w:r>
        <w:t>6、甲方有且仅有根据本协议的规定以甲方自身的名义并为甲方自身之利益从事传真委托的权利；甲方不得以其自身名义通过传真委托代理任何其他第三方从事交易或从中收取任何费用，甲方亦不得允许任何其他第三方以甲方的名义通过乙方从事传真委托。如甲方为之，均视为甲方自身之行为，由此产生的任何法律后果、风险和责任均由甲方自行承担，与乙方无关。</w:t>
      </w:r>
    </w:p>
    <w:p w:rsidR="00225C8B" w:rsidRDefault="00E700FA">
      <w:pPr>
        <w:pStyle w:val="a3"/>
        <w:spacing w:before="1"/>
      </w:pPr>
      <w:r>
        <w:t>7、甲方进行传真委托必须使用乙方指定号码的传真电话，除此之外的传真视为无效传真件或无效申请。</w:t>
      </w:r>
    </w:p>
    <w:p w:rsidR="00225C8B" w:rsidRDefault="00E700FA">
      <w:pPr>
        <w:pStyle w:val="a3"/>
        <w:spacing w:before="137" w:line="338" w:lineRule="auto"/>
        <w:ind w:left="112" w:right="203" w:firstLine="360"/>
        <w:jc w:val="both"/>
      </w:pPr>
      <w:r>
        <w:rPr>
          <w:spacing w:val="-2"/>
        </w:rPr>
        <w:t>8、甲方办理认/申购、赎回等交易业务申请时，传真给乙方的相应资料，应有指定的经办人签章及盖有预留印鉴，经乙方核对与预留印签表面一致的，即视为此申请是甲方真实意思的表示。乙方不对该签章及预留印鉴是否真实、或是否为甲方真实意思表示</w:t>
      </w:r>
      <w:r>
        <w:t>承担法律责任。</w:t>
      </w:r>
    </w:p>
    <w:p w:rsidR="00225C8B" w:rsidRDefault="00E700FA">
      <w:pPr>
        <w:pStyle w:val="a3"/>
        <w:spacing w:before="0" w:line="338" w:lineRule="auto"/>
        <w:ind w:left="112" w:right="203" w:firstLine="360"/>
        <w:jc w:val="both"/>
      </w:pPr>
      <w:r>
        <w:t>9、甲方应在乙方规定的产品开放日 9:00—15:00（</w:t>
      </w:r>
      <w:r>
        <w:rPr>
          <w:spacing w:val="1"/>
        </w:rPr>
        <w:t xml:space="preserve">认购期内为 </w:t>
      </w:r>
      <w:r>
        <w:t>9:00—17:00）将申请资料传真至乙方，以乙方接收到的传真时间为准。</w:t>
      </w:r>
    </w:p>
    <w:p w:rsidR="00225C8B" w:rsidRDefault="00E700FA">
      <w:pPr>
        <w:pStyle w:val="a3"/>
        <w:spacing w:before="1" w:line="338" w:lineRule="auto"/>
        <w:ind w:left="112" w:right="209" w:firstLine="360"/>
      </w:pPr>
      <w:r>
        <w:t>10、甲方发出传真后，应打电话向乙方受理业务的网点确认传真申请事宜。由于传真设备故障致使乙方未能收到甲方传真申请的情况，乙方对此不承担责任。</w:t>
      </w:r>
    </w:p>
    <w:p w:rsidR="00225C8B" w:rsidRDefault="00E700FA">
      <w:pPr>
        <w:pStyle w:val="a3"/>
        <w:spacing w:before="0" w:line="338" w:lineRule="auto"/>
        <w:ind w:left="112" w:right="118" w:firstLine="360"/>
      </w:pPr>
      <w:r>
        <w:t>11、甲方应在传真申请发出后的十个工作日内，将申请书原件向乙方受理业务的网点邮寄，时间以发出的邮戳为准。乙方在</w:t>
      </w:r>
      <w:r>
        <w:rPr>
          <w:spacing w:val="-7"/>
        </w:rPr>
        <w:t>受理业务三十日内收不到甲方邮寄的申请资料原件，乙方有权将甲方的传真件视为其真实意思的表达，具有同原件同样的法律效力。</w:t>
      </w:r>
    </w:p>
    <w:p w:rsidR="00225C8B" w:rsidRDefault="00E700FA">
      <w:pPr>
        <w:pStyle w:val="a3"/>
        <w:spacing w:before="1"/>
      </w:pPr>
      <w:r>
        <w:t>12、甲方不得将本协议项下的权利或义务部分或全部转让给任何第三方。</w:t>
      </w:r>
    </w:p>
    <w:p w:rsidR="00225C8B" w:rsidRDefault="00E700FA">
      <w:pPr>
        <w:pStyle w:val="a3"/>
        <w:spacing w:line="338" w:lineRule="auto"/>
        <w:ind w:left="112" w:right="213" w:firstLine="360"/>
      </w:pPr>
      <w:r>
        <w:t>13、甲方承诺所提交的传真资料真实、有效，如有伪造、欺诈，或利用开立的交易账户进行洗钱等违法活动，愿意承担相应的法律责任。</w:t>
      </w:r>
    </w:p>
    <w:p w:rsidR="00225C8B" w:rsidRDefault="00E700FA">
      <w:pPr>
        <w:pStyle w:val="a3"/>
        <w:spacing w:before="0" w:line="338" w:lineRule="auto"/>
        <w:ind w:left="112" w:right="115" w:firstLine="360"/>
      </w:pPr>
      <w:r>
        <w:rPr>
          <w:spacing w:val="-2"/>
        </w:rPr>
        <w:t>14、甲方已知悉并确认，乙方收到甲方传真的认/申购申请以资金是否到账</w:t>
      </w:r>
      <w:r>
        <w:rPr>
          <w:spacing w:val="-1"/>
        </w:rPr>
        <w:t>（乙方销售监管账户）为准来确定该申请是否有效。</w:t>
      </w:r>
      <w:r>
        <w:t>乙方收到甲方赎回申请时，应在验证甲方交易账户是否有足够产品份额后方受理其申请，如份额不足视为无效申请，乙方可不予执行甲方赎回申请。乙方仅根据甲方指定的经办人所发的传真处理甲方的交易申请。如乙方未收到、未全部收到、或收到的甲方传真信息不准确、不完整、无法识别或甲方违反法律法规、产品合同或乙方业务规则等致使乙方无法执行的，乙方可不执行并对此不承担法律责任。</w:t>
      </w:r>
    </w:p>
    <w:p w:rsidR="00225C8B" w:rsidRDefault="00E700FA">
      <w:pPr>
        <w:pStyle w:val="1"/>
        <w:spacing w:before="2"/>
      </w:pPr>
      <w:r>
        <w:rPr>
          <w:spacing w:val="3"/>
        </w:rPr>
        <w:t>第五条 乙方承诺</w:t>
      </w:r>
    </w:p>
    <w:p w:rsidR="00225C8B" w:rsidRDefault="00E700FA">
      <w:pPr>
        <w:pStyle w:val="a3"/>
      </w:pPr>
      <w:r>
        <w:t>1、乙方严格遵守适用的法律法规，并愿意受本协议所有条款的约束。</w:t>
      </w:r>
    </w:p>
    <w:p w:rsidR="00225C8B" w:rsidRDefault="00E700FA">
      <w:pPr>
        <w:pStyle w:val="a3"/>
        <w:spacing w:line="338" w:lineRule="auto"/>
        <w:ind w:left="112" w:right="210" w:firstLine="360"/>
      </w:pPr>
      <w:r>
        <w:t>2、乙方对甲方的委托资料、委托事项负有保密义务，乙方未经甲方许可，不得透露甲方在乙方登记的任何资料。但乙方按照有关法律、法规和规章的规定或有关司法机关、行政管理机关的要求提供甲方的有关资料不在此限。</w:t>
      </w:r>
    </w:p>
    <w:p w:rsidR="00225C8B" w:rsidRDefault="00225C8B">
      <w:pPr>
        <w:spacing w:line="338" w:lineRule="auto"/>
        <w:sectPr w:rsidR="00225C8B">
          <w:pgSz w:w="11900" w:h="16850"/>
          <w:pgMar w:top="1500" w:right="640" w:bottom="1500" w:left="740" w:header="850" w:footer="1313" w:gutter="0"/>
          <w:cols w:space="720"/>
        </w:sectPr>
      </w:pPr>
    </w:p>
    <w:p w:rsidR="00225C8B" w:rsidRDefault="00E700FA">
      <w:pPr>
        <w:pStyle w:val="a3"/>
        <w:spacing w:before="43"/>
      </w:pPr>
      <w:r>
        <w:lastRenderedPageBreak/>
        <w:t>3、乙方在本协议生效当日，为甲方开通本协议约定的交易委托方式。</w:t>
      </w:r>
    </w:p>
    <w:p w:rsidR="00225C8B" w:rsidRDefault="00E700FA">
      <w:pPr>
        <w:pStyle w:val="a3"/>
        <w:spacing w:line="338" w:lineRule="auto"/>
        <w:ind w:left="112" w:right="209" w:firstLine="360"/>
      </w:pPr>
      <w:r>
        <w:t>4、乙方基金销售结算专用账户的结算资金划转，均由乙方监督银行</w:t>
      </w:r>
      <w:r w:rsidR="00C87EEA">
        <w:rPr>
          <w:rFonts w:hint="eastAsia"/>
        </w:rPr>
        <w:t>兴业</w:t>
      </w:r>
      <w:bookmarkStart w:id="0" w:name="_GoBack"/>
      <w:bookmarkEnd w:id="0"/>
      <w:r>
        <w:t>银行全程监督，注册登记机构的基金赎回、分红、退款交易等资金由乙方监督银行原路划拨至甲方的资金结算账户。</w:t>
      </w:r>
    </w:p>
    <w:p w:rsidR="00225C8B" w:rsidRDefault="00E700FA">
      <w:pPr>
        <w:pStyle w:val="a3"/>
        <w:spacing w:before="0" w:line="338" w:lineRule="auto"/>
        <w:ind w:left="112" w:right="208" w:firstLine="360"/>
      </w:pPr>
      <w:r>
        <w:rPr>
          <w:spacing w:val="-2"/>
        </w:rPr>
        <w:t>如甲方变更资金结算账户信息，需根据乙方要求提供相关变更材料，乙方以变更后的资金结算账户信息为准。因甲方变更资金</w:t>
      </w:r>
      <w:r>
        <w:t>结算账户信息所导致的法律后果和损失，及对第三方的责任，均由甲方自行承担，与乙方无关。</w:t>
      </w:r>
    </w:p>
    <w:p w:rsidR="00225C8B" w:rsidRDefault="00E700FA">
      <w:pPr>
        <w:pStyle w:val="1"/>
        <w:spacing w:before="1"/>
      </w:pPr>
      <w:r>
        <w:rPr>
          <w:spacing w:val="3"/>
        </w:rPr>
        <w:t>第六条 特别提示</w:t>
      </w:r>
    </w:p>
    <w:p w:rsidR="00225C8B" w:rsidRDefault="00E700FA">
      <w:pPr>
        <w:pStyle w:val="a3"/>
      </w:pPr>
      <w:r>
        <w:t>1、传真委托协议的签署提示：</w:t>
      </w:r>
    </w:p>
    <w:p w:rsidR="00225C8B" w:rsidRDefault="00E700FA">
      <w:pPr>
        <w:pStyle w:val="a3"/>
        <w:spacing w:before="137" w:line="338" w:lineRule="auto"/>
        <w:ind w:left="112" w:right="205" w:firstLine="360"/>
      </w:pPr>
      <w:r>
        <w:rPr>
          <w:spacing w:val="-2"/>
        </w:rPr>
        <w:t>甲方委托乙方进行传真委托业务前必须与乙方签订本协议。签署本协议即代表甲方已仔细阅读并理解本协议，甲方授权乙方向</w:t>
      </w:r>
      <w:r>
        <w:t>产品管理人递交账户类及交易类申请，本协议一经签署双方完全接受其法律约束力。</w:t>
      </w:r>
    </w:p>
    <w:p w:rsidR="00225C8B" w:rsidRDefault="00E700FA">
      <w:pPr>
        <w:pStyle w:val="a3"/>
        <w:spacing w:before="0"/>
      </w:pPr>
      <w:r>
        <w:t>2、划款提示：</w:t>
      </w:r>
    </w:p>
    <w:p w:rsidR="00225C8B" w:rsidRDefault="00E700FA">
      <w:pPr>
        <w:pStyle w:val="a3"/>
        <w:spacing w:line="338" w:lineRule="auto"/>
        <w:ind w:right="4104"/>
      </w:pPr>
      <w:r>
        <w:rPr>
          <w:spacing w:val="-1"/>
        </w:rPr>
        <w:t>甲方办理认购、申购业务，必须按时将资金划入乙方指定的资金归集账户：</w:t>
      </w:r>
      <w:r>
        <w:rPr>
          <w:spacing w:val="-51"/>
        </w:rPr>
        <w:t xml:space="preserve"> </w:t>
      </w:r>
      <w:r>
        <w:t>账户名：上海</w:t>
      </w:r>
      <w:r w:rsidR="008A1B91">
        <w:t>攀赢</w:t>
      </w:r>
      <w:r>
        <w:t>基金销售有限公司</w:t>
      </w:r>
    </w:p>
    <w:p w:rsidR="00225C8B" w:rsidRDefault="00E700FA">
      <w:pPr>
        <w:pStyle w:val="a3"/>
        <w:spacing w:before="0"/>
      </w:pPr>
      <w:r>
        <w:t>账号：</w:t>
      </w:r>
      <w:r w:rsidR="00F8435B" w:rsidRPr="00F8435B">
        <w:t>216200100103221905</w:t>
      </w:r>
    </w:p>
    <w:p w:rsidR="00225C8B" w:rsidRDefault="00E700FA">
      <w:pPr>
        <w:pStyle w:val="a3"/>
        <w:spacing w:before="137" w:line="338" w:lineRule="auto"/>
        <w:ind w:right="6084"/>
      </w:pPr>
      <w:r>
        <w:rPr>
          <w:spacing w:val="-1"/>
        </w:rPr>
        <w:t>开户行：</w:t>
      </w:r>
      <w:r w:rsidR="00F8435B" w:rsidRPr="00F8435B">
        <w:rPr>
          <w:rFonts w:hint="eastAsia"/>
          <w:spacing w:val="-1"/>
        </w:rPr>
        <w:t>兴业银行上海分行营业部</w:t>
      </w:r>
      <w:r w:rsidR="00F8435B">
        <w:rPr>
          <w:spacing w:val="-1"/>
        </w:rPr>
        <w:br/>
      </w:r>
      <w:r>
        <w:t>大额支付号：</w:t>
      </w:r>
      <w:r w:rsidR="00F8435B" w:rsidRPr="00F8435B">
        <w:t>309290000107</w:t>
      </w:r>
    </w:p>
    <w:p w:rsidR="00225C8B" w:rsidRDefault="00E700FA">
      <w:pPr>
        <w:pStyle w:val="a3"/>
        <w:spacing w:before="0"/>
      </w:pPr>
      <w:r>
        <w:t>3、业务确认提示：</w:t>
      </w:r>
    </w:p>
    <w:p w:rsidR="00225C8B" w:rsidRDefault="00E700FA">
      <w:pPr>
        <w:pStyle w:val="a3"/>
        <w:spacing w:before="137" w:line="338" w:lineRule="auto"/>
        <w:ind w:left="112" w:right="205" w:firstLine="360"/>
      </w:pPr>
      <w:r>
        <w:t>甲方提交的开户申请分为产品账户开户和交易账户开户。产品账户和交易账户开户于 T+1 日经注册登记机构确认后方可确认</w:t>
      </w:r>
      <w:r>
        <w:rPr>
          <w:spacing w:val="-2"/>
        </w:rPr>
        <w:t xml:space="preserve">成功与否。甲方 </w:t>
      </w:r>
      <w:r>
        <w:t>T+2</w:t>
      </w:r>
      <w:r>
        <w:rPr>
          <w:spacing w:val="-3"/>
        </w:rPr>
        <w:t xml:space="preserve"> 日可以委托乙方查询确认结果。</w:t>
      </w:r>
    </w:p>
    <w:p w:rsidR="00225C8B" w:rsidRDefault="00E700FA">
      <w:pPr>
        <w:pStyle w:val="a3"/>
        <w:spacing w:before="0" w:line="338" w:lineRule="auto"/>
        <w:ind w:left="112" w:right="208" w:firstLine="360"/>
      </w:pPr>
      <w:r>
        <w:rPr>
          <w:spacing w:val="-2"/>
        </w:rPr>
        <w:t>甲方的交易申请与开户为同一天或次日提交的，交易申请是否成功取决于产品账户开户是否成功。当产品账户开户失败时，交</w:t>
      </w:r>
      <w:r>
        <w:t>易申请也将失败。</w:t>
      </w:r>
    </w:p>
    <w:p w:rsidR="00225C8B" w:rsidRDefault="00E700FA">
      <w:pPr>
        <w:pStyle w:val="a3"/>
        <w:spacing w:before="0"/>
      </w:pPr>
      <w:r>
        <w:t>4、乙方指定的邮寄地址、传真及联系电话：</w:t>
      </w:r>
    </w:p>
    <w:p w:rsidR="00225C8B" w:rsidRDefault="00E700FA">
      <w:pPr>
        <w:pStyle w:val="a3"/>
        <w:spacing w:before="137" w:line="338" w:lineRule="auto"/>
        <w:ind w:right="4804"/>
      </w:pPr>
      <w:r>
        <w:rPr>
          <w:spacing w:val="-1"/>
        </w:rPr>
        <w:t>邮寄地址：上海市浦东新区银城路</w:t>
      </w:r>
      <w:r w:rsidR="00F8435B">
        <w:rPr>
          <w:rFonts w:hint="eastAsia"/>
          <w:spacing w:val="-1"/>
        </w:rPr>
        <w:t>1</w:t>
      </w:r>
      <w:r w:rsidR="00F8435B">
        <w:rPr>
          <w:spacing w:val="-1"/>
        </w:rPr>
        <w:t>16</w:t>
      </w:r>
      <w:r>
        <w:rPr>
          <w:spacing w:val="-4"/>
        </w:rPr>
        <w:t xml:space="preserve"> 号</w:t>
      </w:r>
      <w:r w:rsidR="00F8435B">
        <w:rPr>
          <w:rFonts w:hint="eastAsia"/>
          <w:spacing w:val="-4"/>
        </w:rPr>
        <w:t>大华银行</w:t>
      </w:r>
      <w:r>
        <w:rPr>
          <w:spacing w:val="-4"/>
        </w:rPr>
        <w:t xml:space="preserve">大厦 </w:t>
      </w:r>
      <w:r w:rsidR="00F8435B">
        <w:t>703</w:t>
      </w:r>
      <w:r>
        <w:rPr>
          <w:spacing w:val="-6"/>
        </w:rPr>
        <w:t xml:space="preserve"> 室</w:t>
      </w:r>
      <w:r w:rsidR="00F8435B">
        <w:rPr>
          <w:spacing w:val="-6"/>
        </w:rPr>
        <w:br/>
      </w:r>
      <w:r>
        <w:t>邮编：200120</w:t>
      </w:r>
    </w:p>
    <w:p w:rsidR="00225C8B" w:rsidRDefault="00E700FA">
      <w:pPr>
        <w:pStyle w:val="a3"/>
        <w:spacing w:before="1"/>
      </w:pPr>
      <w:r>
        <w:rPr>
          <w:spacing w:val="-1"/>
        </w:rPr>
        <w:t>传真：021-</w:t>
      </w:r>
      <w:r w:rsidR="00F8435B">
        <w:rPr>
          <w:spacing w:val="-1"/>
        </w:rPr>
        <w:t>68889283</w:t>
      </w:r>
    </w:p>
    <w:p w:rsidR="00225C8B" w:rsidRDefault="00E700FA">
      <w:pPr>
        <w:pStyle w:val="a3"/>
      </w:pPr>
      <w:r>
        <w:rPr>
          <w:spacing w:val="-1"/>
        </w:rPr>
        <w:t>客服热线：</w:t>
      </w:r>
      <w:r w:rsidR="00F8435B">
        <w:rPr>
          <w:spacing w:val="-1"/>
        </w:rPr>
        <w:t>021-68889082</w:t>
      </w:r>
    </w:p>
    <w:p w:rsidR="00225C8B" w:rsidRDefault="00E700FA">
      <w:pPr>
        <w:pStyle w:val="a3"/>
      </w:pPr>
      <w:r>
        <w:t>5、委托提示：</w:t>
      </w:r>
    </w:p>
    <w:p w:rsidR="00225C8B" w:rsidRDefault="00E700FA">
      <w:pPr>
        <w:pStyle w:val="a3"/>
        <w:spacing w:line="338" w:lineRule="auto"/>
        <w:ind w:right="5544"/>
      </w:pPr>
      <w:r>
        <w:rPr>
          <w:spacing w:val="-1"/>
        </w:rPr>
        <w:t>甲方通过传真方式提交的委托，以乙方收到的传真为准。</w:t>
      </w:r>
      <w:r>
        <w:t>6、委托受理时间提示：</w:t>
      </w:r>
    </w:p>
    <w:p w:rsidR="00225C8B" w:rsidRDefault="00E700FA">
      <w:pPr>
        <w:pStyle w:val="a3"/>
        <w:spacing w:before="0"/>
      </w:pPr>
      <w:r>
        <w:t>当日委托申请的受理截止时间为 15：00。甲方委托申请的时间超出上述截止时间，则乙方视甲方的委托申请为下一个交易日</w:t>
      </w:r>
    </w:p>
    <w:p w:rsidR="00225C8B" w:rsidRDefault="00225C8B">
      <w:pPr>
        <w:sectPr w:rsidR="00225C8B">
          <w:pgSz w:w="11900" w:h="16850"/>
          <w:pgMar w:top="1500" w:right="640" w:bottom="1500" w:left="740" w:header="850" w:footer="1313" w:gutter="0"/>
          <w:cols w:space="720"/>
        </w:sectPr>
      </w:pPr>
    </w:p>
    <w:p w:rsidR="00225C8B" w:rsidRDefault="00E700FA">
      <w:pPr>
        <w:pStyle w:val="a3"/>
        <w:spacing w:before="43"/>
        <w:ind w:left="112"/>
      </w:pPr>
      <w:r>
        <w:lastRenderedPageBreak/>
        <w:t>的申请。申请时间以乙方收到甲方的传真时间为准。</w:t>
      </w:r>
    </w:p>
    <w:p w:rsidR="00225C8B" w:rsidRDefault="00E700FA">
      <w:pPr>
        <w:pStyle w:val="1"/>
        <w:spacing w:before="136"/>
      </w:pPr>
      <w:r>
        <w:rPr>
          <w:spacing w:val="3"/>
        </w:rPr>
        <w:t>第七条 免责条款</w:t>
      </w:r>
    </w:p>
    <w:p w:rsidR="00225C8B" w:rsidRDefault="00E700FA">
      <w:pPr>
        <w:pStyle w:val="a3"/>
        <w:spacing w:line="338" w:lineRule="auto"/>
        <w:ind w:right="4104"/>
      </w:pPr>
      <w:r>
        <w:rPr>
          <w:spacing w:val="-1"/>
        </w:rPr>
        <w:t>双方特别约定，乙方对以下情形以及以下情形导致的损失不承担任何责任：</w:t>
      </w:r>
      <w:r>
        <w:rPr>
          <w:spacing w:val="-51"/>
        </w:rPr>
        <w:t xml:space="preserve"> </w:t>
      </w:r>
      <w:r>
        <w:t>1、地震、火灾、台风、洪水、瘟疫等自然灾害；</w:t>
      </w:r>
    </w:p>
    <w:p w:rsidR="00225C8B" w:rsidRDefault="00E700FA">
      <w:pPr>
        <w:pStyle w:val="a3"/>
        <w:spacing w:before="0"/>
      </w:pPr>
      <w:r>
        <w:t>2、战争、暴动、罢工等人为事件；</w:t>
      </w:r>
    </w:p>
    <w:p w:rsidR="00225C8B" w:rsidRDefault="00E700FA">
      <w:pPr>
        <w:pStyle w:val="a3"/>
        <w:spacing w:before="137" w:line="338" w:lineRule="auto"/>
        <w:ind w:left="112" w:right="210" w:firstLine="360"/>
      </w:pPr>
      <w:r>
        <w:t>3、第三方服务中断、迟延或差错，包括但不限于停电、资金结算机构或电信服务商因网络、通讯系统故障、设备故障、通讯技术缺陷、电脑黑客或计算机病毒或其他原因而导致中断、堵塞、停止、迟延或错误提供服务等；</w:t>
      </w:r>
    </w:p>
    <w:p w:rsidR="00225C8B" w:rsidRDefault="00E700FA">
      <w:pPr>
        <w:pStyle w:val="a3"/>
        <w:spacing w:before="1"/>
      </w:pPr>
      <w:r>
        <w:t>4、法律和政策重大变化、其他政府行为或乙方不可预测和不可控制因素导致的突发事件；</w:t>
      </w:r>
    </w:p>
    <w:p w:rsidR="00225C8B" w:rsidRDefault="00E700FA">
      <w:pPr>
        <w:pStyle w:val="a3"/>
        <w:spacing w:line="338" w:lineRule="auto"/>
        <w:ind w:left="112" w:right="210" w:firstLine="360"/>
      </w:pPr>
      <w:r>
        <w:t>5、因甲方设备或通讯故障或设备未能处于正常工作状态，致使乙方未能按时收到甲方的申请信息或乙方收到甲方的申请信息不完整；</w:t>
      </w:r>
    </w:p>
    <w:p w:rsidR="00225C8B" w:rsidRDefault="00E700FA">
      <w:pPr>
        <w:pStyle w:val="a3"/>
        <w:spacing w:before="0"/>
      </w:pPr>
      <w:r>
        <w:t>6、法律规定和本协议约定的其他乙方免责事项。</w:t>
      </w:r>
    </w:p>
    <w:p w:rsidR="00225C8B" w:rsidRDefault="00E700FA">
      <w:pPr>
        <w:pStyle w:val="1"/>
        <w:spacing w:before="136"/>
      </w:pPr>
      <w:r>
        <w:t>第八条 协议生效及变更</w:t>
      </w:r>
    </w:p>
    <w:p w:rsidR="00225C8B" w:rsidRDefault="00E700FA">
      <w:pPr>
        <w:pStyle w:val="a3"/>
        <w:spacing w:before="137" w:line="338" w:lineRule="auto"/>
        <w:ind w:left="112" w:right="209" w:firstLine="360"/>
      </w:pPr>
      <w:r>
        <w:t>1、甲乙双方确认，双方通过互联网电子信息形式完成协议签署时，甲方于乙方服务平台输入其持有的投资者信息、勾选本协议并完成注册开户即视为完成协议签署；若双方选择以纸质方式签署本协议的，双方签署纸质版本协议时即视为完成协议签署；</w:t>
      </w:r>
    </w:p>
    <w:p w:rsidR="00225C8B" w:rsidRDefault="00E700FA">
      <w:pPr>
        <w:pStyle w:val="a3"/>
        <w:spacing w:before="0"/>
      </w:pPr>
      <w:r>
        <w:t>本协议在甲、乙双方签署后立即生效。</w:t>
      </w:r>
    </w:p>
    <w:p w:rsidR="00225C8B" w:rsidRDefault="00E700FA">
      <w:pPr>
        <w:pStyle w:val="a3"/>
        <w:spacing w:before="137"/>
      </w:pPr>
      <w:r>
        <w:t>2、乙方保留对本协议内容进行修改、删除或增加的权利。</w:t>
      </w:r>
    </w:p>
    <w:p w:rsidR="00225C8B" w:rsidRDefault="00E700FA">
      <w:pPr>
        <w:pStyle w:val="a3"/>
        <w:spacing w:line="338" w:lineRule="auto"/>
        <w:ind w:left="112" w:right="210" w:firstLine="360"/>
      </w:pPr>
      <w:r>
        <w:t>3、乙方修改、删除或增加本协议内容，将以书面形式将该事项登载于乙方的网站及营业场所。甲方在修改通知公布之日起三十日内未向乙方提出书面异议，则视同甲方已经对本协议的修改时间及修改文本表示认可。</w:t>
      </w:r>
    </w:p>
    <w:p w:rsidR="00225C8B" w:rsidRDefault="00E700FA">
      <w:pPr>
        <w:pStyle w:val="a3"/>
        <w:spacing w:before="0" w:line="338" w:lineRule="auto"/>
        <w:ind w:left="112" w:right="206" w:firstLine="360"/>
        <w:jc w:val="both"/>
      </w:pPr>
      <w:r>
        <w:t>4</w:t>
      </w:r>
      <w:r>
        <w:rPr>
          <w:spacing w:val="-7"/>
        </w:rPr>
        <w:t>、本协议签署后，若有关法律、法规、监管部门规章、《产品合同》、产品相关法律文书及其他乙方和甲方应共同遵守的文件</w:t>
      </w:r>
      <w:r>
        <w:rPr>
          <w:spacing w:val="-2"/>
        </w:rPr>
        <w:t>发生修订，本协议与之不相适应的内容及条款自行失效，并按照变更后的相关法律文件的规定执行，但本协议其他内容和条款继续</w:t>
      </w:r>
      <w:r>
        <w:t>有效。</w:t>
      </w:r>
    </w:p>
    <w:p w:rsidR="00225C8B" w:rsidRDefault="00E700FA">
      <w:pPr>
        <w:pStyle w:val="a3"/>
        <w:spacing w:before="1"/>
      </w:pPr>
      <w:r>
        <w:t>5、本协议在下述情况之一发生时终止：</w:t>
      </w:r>
    </w:p>
    <w:p w:rsidR="00225C8B" w:rsidRDefault="00E700FA">
      <w:pPr>
        <w:pStyle w:val="a5"/>
        <w:numPr>
          <w:ilvl w:val="0"/>
          <w:numId w:val="1"/>
        </w:numPr>
        <w:tabs>
          <w:tab w:val="left" w:pos="940"/>
        </w:tabs>
        <w:ind w:hanging="468"/>
        <w:rPr>
          <w:sz w:val="18"/>
        </w:rPr>
      </w:pPr>
      <w:r>
        <w:rPr>
          <w:sz w:val="18"/>
        </w:rPr>
        <w:t>甲方撤销本协议项下设立的交易账户或产品账户。</w:t>
      </w:r>
    </w:p>
    <w:p w:rsidR="00225C8B" w:rsidRDefault="00E700FA">
      <w:pPr>
        <w:pStyle w:val="a5"/>
        <w:numPr>
          <w:ilvl w:val="0"/>
          <w:numId w:val="1"/>
        </w:numPr>
        <w:tabs>
          <w:tab w:val="left" w:pos="940"/>
        </w:tabs>
        <w:spacing w:before="137"/>
        <w:ind w:hanging="468"/>
        <w:rPr>
          <w:sz w:val="18"/>
        </w:rPr>
      </w:pPr>
      <w:r>
        <w:rPr>
          <w:sz w:val="18"/>
        </w:rPr>
        <w:t>甲方终止或不再具备相应的民事行为能力。</w:t>
      </w:r>
    </w:p>
    <w:p w:rsidR="00225C8B" w:rsidRDefault="00E700FA">
      <w:pPr>
        <w:pStyle w:val="a5"/>
        <w:numPr>
          <w:ilvl w:val="0"/>
          <w:numId w:val="1"/>
        </w:numPr>
        <w:tabs>
          <w:tab w:val="left" w:pos="940"/>
        </w:tabs>
        <w:ind w:hanging="468"/>
        <w:rPr>
          <w:sz w:val="18"/>
        </w:rPr>
      </w:pPr>
      <w:r>
        <w:rPr>
          <w:sz w:val="18"/>
        </w:rPr>
        <w:t>因不可抗力使本协议无法继续履行。</w:t>
      </w:r>
    </w:p>
    <w:p w:rsidR="00225C8B" w:rsidRDefault="00E700FA">
      <w:pPr>
        <w:pStyle w:val="a5"/>
        <w:numPr>
          <w:ilvl w:val="0"/>
          <w:numId w:val="1"/>
        </w:numPr>
        <w:tabs>
          <w:tab w:val="left" w:pos="940"/>
        </w:tabs>
        <w:ind w:hanging="468"/>
        <w:rPr>
          <w:sz w:val="18"/>
        </w:rPr>
      </w:pPr>
      <w:r>
        <w:rPr>
          <w:sz w:val="18"/>
        </w:rPr>
        <w:t>一方违约，守约方有权向违约方书面提出终止本协议, 本协议自通知发出之日起终止。</w:t>
      </w:r>
    </w:p>
    <w:p w:rsidR="00225C8B" w:rsidRDefault="00E700FA">
      <w:pPr>
        <w:pStyle w:val="a5"/>
        <w:numPr>
          <w:ilvl w:val="0"/>
          <w:numId w:val="1"/>
        </w:numPr>
        <w:tabs>
          <w:tab w:val="left" w:pos="940"/>
        </w:tabs>
        <w:ind w:hanging="468"/>
        <w:rPr>
          <w:sz w:val="18"/>
        </w:rPr>
      </w:pPr>
      <w:r>
        <w:rPr>
          <w:sz w:val="18"/>
        </w:rPr>
        <w:t>双方签订书面协议同意终止。</w:t>
      </w:r>
    </w:p>
    <w:p w:rsidR="00225C8B" w:rsidRDefault="00E700FA">
      <w:pPr>
        <w:pStyle w:val="1"/>
        <w:spacing w:before="137"/>
      </w:pPr>
      <w:r>
        <w:rPr>
          <w:spacing w:val="3"/>
        </w:rPr>
        <w:t>第九条 争议解决</w:t>
      </w:r>
    </w:p>
    <w:p w:rsidR="00225C8B" w:rsidRDefault="00E700FA">
      <w:pPr>
        <w:pStyle w:val="a3"/>
      </w:pPr>
      <w:r>
        <w:rPr>
          <w:spacing w:val="-13"/>
        </w:rPr>
        <w:t>甲、乙双方如有争议，应尽可能通过协商解决；协商不成的，任何一方均有权向上海国际仲裁中心申请仲裁，仲裁地点为上海。</w:t>
      </w:r>
    </w:p>
    <w:p w:rsidR="00225C8B" w:rsidRDefault="00225C8B">
      <w:pPr>
        <w:sectPr w:rsidR="00225C8B">
          <w:pgSz w:w="11900" w:h="16850"/>
          <w:pgMar w:top="1500" w:right="640" w:bottom="1500" w:left="740" w:header="850" w:footer="1313" w:gutter="0"/>
          <w:cols w:space="720"/>
        </w:sectPr>
      </w:pPr>
    </w:p>
    <w:p w:rsidR="00225C8B" w:rsidRDefault="00E700FA">
      <w:pPr>
        <w:pStyle w:val="a3"/>
        <w:spacing w:before="43"/>
        <w:ind w:left="112"/>
      </w:pPr>
      <w:r>
        <w:lastRenderedPageBreak/>
        <w:t>仲裁裁决是终局的，对双方均有法律约束力。</w:t>
      </w:r>
    </w:p>
    <w:p w:rsidR="00225C8B" w:rsidRDefault="00225C8B">
      <w:pPr>
        <w:pStyle w:val="a3"/>
        <w:spacing w:before="0"/>
        <w:ind w:left="0"/>
        <w:rPr>
          <w:sz w:val="24"/>
        </w:rPr>
      </w:pPr>
    </w:p>
    <w:p w:rsidR="00225C8B" w:rsidRDefault="00225C8B">
      <w:pPr>
        <w:pStyle w:val="a3"/>
        <w:spacing w:before="3"/>
        <w:ind w:left="0"/>
        <w:rPr>
          <w:sz w:val="34"/>
        </w:rPr>
      </w:pPr>
    </w:p>
    <w:p w:rsidR="002F2E1C" w:rsidRDefault="002F2E1C">
      <w:pPr>
        <w:pStyle w:val="a3"/>
        <w:spacing w:before="3"/>
        <w:ind w:left="0"/>
        <w:rPr>
          <w:sz w:val="34"/>
        </w:rPr>
      </w:pPr>
    </w:p>
    <w:p w:rsidR="002F2E1C" w:rsidRDefault="002F2E1C">
      <w:pPr>
        <w:pStyle w:val="a3"/>
        <w:spacing w:before="3"/>
        <w:ind w:left="0"/>
        <w:rPr>
          <w:sz w:val="34"/>
        </w:rPr>
      </w:pPr>
    </w:p>
    <w:p w:rsidR="00225C8B" w:rsidRDefault="00E700FA">
      <w:pPr>
        <w:pStyle w:val="a3"/>
        <w:tabs>
          <w:tab w:val="left" w:pos="7044"/>
        </w:tabs>
        <w:spacing w:before="0"/>
        <w:ind w:left="112"/>
      </w:pPr>
      <w:r>
        <w:t>甲方</w:t>
      </w:r>
      <w:r w:rsidR="007839CD">
        <w:t>签字</w:t>
      </w:r>
      <w:r>
        <w:t>：</w:t>
      </w:r>
      <w:r>
        <w:tab/>
        <w:t>乙方：上海</w:t>
      </w:r>
      <w:r w:rsidR="008A1B91">
        <w:t>攀赢</w:t>
      </w:r>
      <w:r>
        <w:t>基金销售有限公司</w:t>
      </w:r>
    </w:p>
    <w:p w:rsidR="00225C8B" w:rsidRDefault="00225C8B">
      <w:pPr>
        <w:pStyle w:val="a3"/>
        <w:spacing w:before="14"/>
        <w:ind w:left="0"/>
        <w:rPr>
          <w:sz w:val="32"/>
        </w:rPr>
      </w:pPr>
    </w:p>
    <w:p w:rsidR="00DE2E57" w:rsidRDefault="00DE2E57" w:rsidP="007839CD">
      <w:pPr>
        <w:pStyle w:val="a3"/>
        <w:tabs>
          <w:tab w:val="left" w:pos="7044"/>
        </w:tabs>
        <w:spacing w:before="0"/>
        <w:ind w:left="112" w:firstLineChars="600" w:firstLine="1080"/>
      </w:pPr>
      <w:r>
        <w:rPr>
          <w:rFonts w:hint="eastAsia"/>
        </w:rPr>
        <w:t xml:space="preserve">                                                                                                              </w:t>
      </w:r>
      <w:r>
        <w:t>公章：</w:t>
      </w:r>
    </w:p>
    <w:p w:rsidR="00DE2E57" w:rsidRDefault="00DE2E57">
      <w:pPr>
        <w:pStyle w:val="a3"/>
        <w:tabs>
          <w:tab w:val="left" w:pos="7044"/>
        </w:tabs>
        <w:spacing w:before="0"/>
        <w:ind w:left="112"/>
      </w:pPr>
    </w:p>
    <w:p w:rsidR="00225C8B" w:rsidRDefault="00E700FA" w:rsidP="00DE2E57">
      <w:pPr>
        <w:pStyle w:val="a3"/>
        <w:tabs>
          <w:tab w:val="left" w:pos="7050"/>
        </w:tabs>
        <w:spacing w:before="0"/>
        <w:ind w:left="112"/>
      </w:pPr>
      <w:r>
        <w:tab/>
      </w:r>
      <w:r w:rsidR="00DE2E57">
        <w:t>法人章：</w:t>
      </w:r>
    </w:p>
    <w:p w:rsidR="00225C8B" w:rsidRDefault="00225C8B">
      <w:pPr>
        <w:pStyle w:val="a3"/>
        <w:spacing w:before="15"/>
        <w:ind w:left="0"/>
        <w:rPr>
          <w:sz w:val="32"/>
        </w:rPr>
      </w:pPr>
    </w:p>
    <w:p w:rsidR="00225C8B" w:rsidRDefault="00E700FA">
      <w:pPr>
        <w:pStyle w:val="a3"/>
        <w:tabs>
          <w:tab w:val="left" w:pos="1549"/>
          <w:tab w:val="left" w:pos="2181"/>
          <w:tab w:val="left" w:pos="2901"/>
          <w:tab w:val="left" w:pos="7044"/>
          <w:tab w:val="left" w:pos="8576"/>
          <w:tab w:val="left" w:pos="9296"/>
          <w:tab w:val="left" w:pos="10016"/>
        </w:tabs>
        <w:spacing w:before="0"/>
        <w:ind w:left="112"/>
      </w:pPr>
      <w:r>
        <w:t>签署日期：</w:t>
      </w:r>
      <w:r>
        <w:tab/>
        <w:t>年</w:t>
      </w:r>
      <w:r>
        <w:tab/>
        <w:t>月</w:t>
      </w:r>
      <w:r>
        <w:tab/>
        <w:t>日</w:t>
      </w:r>
      <w:r>
        <w:tab/>
        <w:t>签署日期：</w:t>
      </w:r>
      <w:r>
        <w:tab/>
        <w:t>年</w:t>
      </w:r>
      <w:r>
        <w:tab/>
        <w:t>月</w:t>
      </w:r>
      <w:r>
        <w:tab/>
        <w:t>日</w:t>
      </w:r>
    </w:p>
    <w:sectPr w:rsidR="00225C8B" w:rsidSect="00E413AF">
      <w:pgSz w:w="11900" w:h="16850"/>
      <w:pgMar w:top="1500" w:right="640" w:bottom="1500" w:left="740" w:header="850" w:footer="1313"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66885" w:rsidRDefault="00966885">
      <w:r>
        <w:separator/>
      </w:r>
    </w:p>
  </w:endnote>
  <w:endnote w:type="continuationSeparator" w:id="0">
    <w:p w:rsidR="00966885" w:rsidRDefault="00966885">
      <w:r>
        <w:continuationSeparator/>
      </w:r>
    </w:p>
  </w:endnote>
</w:endnotes>
</file>

<file path=word/fontTable.xml><?xml version="1.0" encoding="utf-8"?>
<w:fonts xmlns:r="http://schemas.openxmlformats.org/officeDocument/2006/relationships" xmlns:w="http://schemas.openxmlformats.org/wordprocessingml/2006/main">
  <w:font w:name="微软雅黑">
    <w:panose1 w:val="020B0503020204020204"/>
    <w:charset w:val="86"/>
    <w:family w:val="swiss"/>
    <w:pitch w:val="variable"/>
    <w:sig w:usb0="80000287" w:usb1="2ACF3C50" w:usb2="00000016" w:usb3="00000000" w:csb0="0004001F" w:csb1="00000000"/>
  </w:font>
  <w:font w:name="Times New Roman">
    <w:panose1 w:val="02020603050405020304"/>
    <w:charset w:val="00"/>
    <w:family w:val="roman"/>
    <w:pitch w:val="variable"/>
    <w:sig w:usb0="E0002EFF" w:usb1="C000785B" w:usb2="00000009" w:usb3="00000000" w:csb0="000001FF" w:csb1="00000000"/>
  </w:font>
  <w:font w:name="Calibri">
    <w:altName w:val="Times New Roman"/>
    <w:panose1 w:val="00000000000000000000"/>
    <w:charset w:val="00"/>
    <w:family w:val="roman"/>
    <w:notTrueType/>
    <w:pitch w:val="default"/>
    <w:sig w:usb0="00000000" w:usb1="00000000" w:usb2="00000000" w:usb3="00000000" w:csb0="00000000"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25C8B" w:rsidRDefault="008C5076">
    <w:pPr>
      <w:pStyle w:val="a3"/>
      <w:spacing w:before="0" w:line="14" w:lineRule="auto"/>
      <w:ind w:left="0"/>
      <w:rPr>
        <w:sz w:val="20"/>
      </w:rPr>
    </w:pPr>
    <w:r w:rsidRPr="008C5076">
      <w:pict>
        <v:shapetype id="_x0000_t202" coordsize="21600,21600" o:spt="202" path="m,l,21600r21600,l21600,xe">
          <v:stroke joinstyle="miter"/>
          <v:path gradientshapeok="t" o:connecttype="rect"/>
        </v:shapetype>
        <v:shape id="docshape3" o:spid="_x0000_s2050" type="#_x0000_t202" style="position:absolute;margin-left:289.1pt;margin-top:765.4pt;width:17.05pt;height:12.6pt;z-index:-15809024;mso-position-horizontal-relative:page;mso-position-vertical-relative:page" filled="f" stroked="f">
          <v:textbox inset="0,0,0,0">
            <w:txbxContent>
              <w:p w:rsidR="00225C8B" w:rsidRDefault="00E700FA">
                <w:pPr>
                  <w:pStyle w:val="a3"/>
                  <w:spacing w:before="20"/>
                  <w:ind w:left="20"/>
                  <w:rPr>
                    <w:rFonts w:ascii="Cambria"/>
                  </w:rPr>
                </w:pPr>
                <w:r>
                  <w:rPr>
                    <w:rFonts w:ascii="Cambria"/>
                  </w:rPr>
                  <w:t>-</w:t>
                </w:r>
                <w:r>
                  <w:rPr>
                    <w:rFonts w:ascii="Cambria"/>
                    <w:spacing w:val="1"/>
                  </w:rPr>
                  <w:t xml:space="preserve"> </w:t>
                </w:r>
                <w:r w:rsidR="008C5076">
                  <w:fldChar w:fldCharType="begin"/>
                </w:r>
                <w:r>
                  <w:rPr>
                    <w:rFonts w:ascii="Cambria"/>
                  </w:rPr>
                  <w:instrText xml:space="preserve"> PAGE </w:instrText>
                </w:r>
                <w:r w:rsidR="008C5076">
                  <w:fldChar w:fldCharType="separate"/>
                </w:r>
                <w:r w:rsidR="007839CD">
                  <w:rPr>
                    <w:rFonts w:ascii="Cambria"/>
                    <w:noProof/>
                  </w:rPr>
                  <w:t>6</w:t>
                </w:r>
                <w:r w:rsidR="008C5076">
                  <w:fldChar w:fldCharType="end"/>
                </w:r>
                <w:r>
                  <w:rPr>
                    <w:rFonts w:ascii="Cambria"/>
                  </w:rPr>
                  <w:t xml:space="preserve"> -</w:t>
                </w:r>
              </w:p>
            </w:txbxContent>
          </v:textbox>
          <w10:wrap anchorx="page" anchory="page"/>
        </v:shape>
      </w:pict>
    </w:r>
    <w:r w:rsidRPr="008C5076">
      <w:pict>
        <v:shape id="docshape4" o:spid="_x0000_s2049" type="#_x0000_t202" style="position:absolute;margin-left:41.6pt;margin-top:777.75pt;width:177pt;height:13.9pt;z-index:-15808512;mso-position-horizontal-relative:page;mso-position-vertical-relative:page" filled="f" stroked="f">
          <v:textbox inset="0,0,0,0">
            <w:txbxContent>
              <w:p w:rsidR="00225C8B" w:rsidRDefault="00225C8B">
                <w:pPr>
                  <w:pStyle w:val="a3"/>
                  <w:spacing w:before="0" w:line="278" w:lineRule="exact"/>
                  <w:ind w:left="20"/>
                </w:pPr>
              </w:p>
            </w:txbxContent>
          </v:textbox>
          <w10:wrap anchorx="page" anchory="page"/>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66885" w:rsidRDefault="00966885">
      <w:r>
        <w:separator/>
      </w:r>
    </w:p>
  </w:footnote>
  <w:footnote w:type="continuationSeparator" w:id="0">
    <w:p w:rsidR="00966885" w:rsidRDefault="0096688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25C8B" w:rsidRPr="002F2E1C" w:rsidRDefault="002F2E1C" w:rsidP="002F2E1C">
    <w:pPr>
      <w:pStyle w:val="a6"/>
      <w:jc w:val="left"/>
    </w:pPr>
    <w:r>
      <w:rPr>
        <w:noProof/>
      </w:rPr>
      <w:drawing>
        <wp:inline distT="0" distB="0" distL="0" distR="0">
          <wp:extent cx="741751" cy="684694"/>
          <wp:effectExtent l="0" t="0" r="1270" b="127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pic:nvPicPr>
                <pic:blipFill>
                  <a:blip r:embed="rId1">
                    <a:extLst>
                      <a:ext uri="{28A0092B-C50C-407E-A947-70E740481C1C}">
                        <a14:useLocalDpi xmln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756402" cy="698218"/>
                  </a:xfrm>
                  <a:prstGeom prst="rect">
                    <a:avLst/>
                  </a:prstGeom>
                </pic:spPr>
              </pic:pic>
            </a:graphicData>
          </a:graphic>
        </wp:inline>
      </w:drawing>
    </w:r>
    <w:r>
      <w:t xml:space="preserve">                                                                                                                                      </w:t>
    </w:r>
    <w:r>
      <w:rPr>
        <w:rFonts w:hint="eastAsia"/>
      </w:rPr>
      <w:t>上海攀赢基金销售有限公司</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A6C5F94"/>
    <w:multiLevelType w:val="hybridMultilevel"/>
    <w:tmpl w:val="FE884744"/>
    <w:lvl w:ilvl="0" w:tplc="5072A838">
      <w:start w:val="1"/>
      <w:numFmt w:val="decimal"/>
      <w:lvlText w:val="（%1）"/>
      <w:lvlJc w:val="left"/>
      <w:pPr>
        <w:ind w:left="939" w:hanging="467"/>
      </w:pPr>
      <w:rPr>
        <w:rFonts w:ascii="微软雅黑" w:eastAsia="微软雅黑" w:hAnsi="微软雅黑" w:cs="微软雅黑" w:hint="default"/>
        <w:b w:val="0"/>
        <w:bCs w:val="0"/>
        <w:i w:val="0"/>
        <w:iCs w:val="0"/>
        <w:w w:val="100"/>
        <w:sz w:val="16"/>
        <w:szCs w:val="16"/>
        <w:lang w:val="en-US" w:eastAsia="zh-CN" w:bidi="ar-SA"/>
      </w:rPr>
    </w:lvl>
    <w:lvl w:ilvl="1" w:tplc="181A0E8C">
      <w:numFmt w:val="bullet"/>
      <w:lvlText w:val="•"/>
      <w:lvlJc w:val="left"/>
      <w:pPr>
        <w:ind w:left="1897" w:hanging="467"/>
      </w:pPr>
      <w:rPr>
        <w:rFonts w:hint="default"/>
        <w:lang w:val="en-US" w:eastAsia="zh-CN" w:bidi="ar-SA"/>
      </w:rPr>
    </w:lvl>
    <w:lvl w:ilvl="2" w:tplc="70DAF73C">
      <w:numFmt w:val="bullet"/>
      <w:lvlText w:val="•"/>
      <w:lvlJc w:val="left"/>
      <w:pPr>
        <w:ind w:left="2855" w:hanging="467"/>
      </w:pPr>
      <w:rPr>
        <w:rFonts w:hint="default"/>
        <w:lang w:val="en-US" w:eastAsia="zh-CN" w:bidi="ar-SA"/>
      </w:rPr>
    </w:lvl>
    <w:lvl w:ilvl="3" w:tplc="3E20E160">
      <w:numFmt w:val="bullet"/>
      <w:lvlText w:val="•"/>
      <w:lvlJc w:val="left"/>
      <w:pPr>
        <w:ind w:left="3813" w:hanging="467"/>
      </w:pPr>
      <w:rPr>
        <w:rFonts w:hint="default"/>
        <w:lang w:val="en-US" w:eastAsia="zh-CN" w:bidi="ar-SA"/>
      </w:rPr>
    </w:lvl>
    <w:lvl w:ilvl="4" w:tplc="CB306DDE">
      <w:numFmt w:val="bullet"/>
      <w:lvlText w:val="•"/>
      <w:lvlJc w:val="left"/>
      <w:pPr>
        <w:ind w:left="4771" w:hanging="467"/>
      </w:pPr>
      <w:rPr>
        <w:rFonts w:hint="default"/>
        <w:lang w:val="en-US" w:eastAsia="zh-CN" w:bidi="ar-SA"/>
      </w:rPr>
    </w:lvl>
    <w:lvl w:ilvl="5" w:tplc="759AF71A">
      <w:numFmt w:val="bullet"/>
      <w:lvlText w:val="•"/>
      <w:lvlJc w:val="left"/>
      <w:pPr>
        <w:ind w:left="5729" w:hanging="467"/>
      </w:pPr>
      <w:rPr>
        <w:rFonts w:hint="default"/>
        <w:lang w:val="en-US" w:eastAsia="zh-CN" w:bidi="ar-SA"/>
      </w:rPr>
    </w:lvl>
    <w:lvl w:ilvl="6" w:tplc="558A1B0A">
      <w:numFmt w:val="bullet"/>
      <w:lvlText w:val="•"/>
      <w:lvlJc w:val="left"/>
      <w:pPr>
        <w:ind w:left="6687" w:hanging="467"/>
      </w:pPr>
      <w:rPr>
        <w:rFonts w:hint="default"/>
        <w:lang w:val="en-US" w:eastAsia="zh-CN" w:bidi="ar-SA"/>
      </w:rPr>
    </w:lvl>
    <w:lvl w:ilvl="7" w:tplc="AB600F34">
      <w:numFmt w:val="bullet"/>
      <w:lvlText w:val="•"/>
      <w:lvlJc w:val="left"/>
      <w:pPr>
        <w:ind w:left="7645" w:hanging="467"/>
      </w:pPr>
      <w:rPr>
        <w:rFonts w:hint="default"/>
        <w:lang w:val="en-US" w:eastAsia="zh-CN" w:bidi="ar-SA"/>
      </w:rPr>
    </w:lvl>
    <w:lvl w:ilvl="8" w:tplc="9A90F684">
      <w:numFmt w:val="bullet"/>
      <w:lvlText w:val="•"/>
      <w:lvlJc w:val="left"/>
      <w:pPr>
        <w:ind w:left="8603" w:hanging="467"/>
      </w:pPr>
      <w:rPr>
        <w:rFonts w:hint="default"/>
        <w:lang w:val="en-US" w:eastAsia="zh-CN" w:bidi="ar-SA"/>
      </w:rPr>
    </w:lvl>
  </w:abstractNum>
  <w:abstractNum w:abstractNumId="1">
    <w:nsid w:val="65553E88"/>
    <w:multiLevelType w:val="hybridMultilevel"/>
    <w:tmpl w:val="397A4C2C"/>
    <w:lvl w:ilvl="0" w:tplc="C4F46380">
      <w:start w:val="1"/>
      <w:numFmt w:val="decimal"/>
      <w:lvlText w:val="（%1）"/>
      <w:lvlJc w:val="left"/>
      <w:pPr>
        <w:ind w:left="112" w:hanging="467"/>
      </w:pPr>
      <w:rPr>
        <w:rFonts w:ascii="微软雅黑" w:eastAsia="微软雅黑" w:hAnsi="微软雅黑" w:cs="微软雅黑" w:hint="default"/>
        <w:b w:val="0"/>
        <w:bCs w:val="0"/>
        <w:i w:val="0"/>
        <w:iCs w:val="0"/>
        <w:spacing w:val="-29"/>
        <w:w w:val="100"/>
        <w:sz w:val="16"/>
        <w:szCs w:val="16"/>
        <w:lang w:val="en-US" w:eastAsia="zh-CN" w:bidi="ar-SA"/>
      </w:rPr>
    </w:lvl>
    <w:lvl w:ilvl="1" w:tplc="8812AFDC">
      <w:numFmt w:val="bullet"/>
      <w:lvlText w:val="•"/>
      <w:lvlJc w:val="left"/>
      <w:pPr>
        <w:ind w:left="1159" w:hanging="467"/>
      </w:pPr>
      <w:rPr>
        <w:rFonts w:hint="default"/>
        <w:lang w:val="en-US" w:eastAsia="zh-CN" w:bidi="ar-SA"/>
      </w:rPr>
    </w:lvl>
    <w:lvl w:ilvl="2" w:tplc="1F6CBFFE">
      <w:numFmt w:val="bullet"/>
      <w:lvlText w:val="•"/>
      <w:lvlJc w:val="left"/>
      <w:pPr>
        <w:ind w:left="2199" w:hanging="467"/>
      </w:pPr>
      <w:rPr>
        <w:rFonts w:hint="default"/>
        <w:lang w:val="en-US" w:eastAsia="zh-CN" w:bidi="ar-SA"/>
      </w:rPr>
    </w:lvl>
    <w:lvl w:ilvl="3" w:tplc="E33CF768">
      <w:numFmt w:val="bullet"/>
      <w:lvlText w:val="•"/>
      <w:lvlJc w:val="left"/>
      <w:pPr>
        <w:ind w:left="3239" w:hanging="467"/>
      </w:pPr>
      <w:rPr>
        <w:rFonts w:hint="default"/>
        <w:lang w:val="en-US" w:eastAsia="zh-CN" w:bidi="ar-SA"/>
      </w:rPr>
    </w:lvl>
    <w:lvl w:ilvl="4" w:tplc="109EE0F4">
      <w:numFmt w:val="bullet"/>
      <w:lvlText w:val="•"/>
      <w:lvlJc w:val="left"/>
      <w:pPr>
        <w:ind w:left="4279" w:hanging="467"/>
      </w:pPr>
      <w:rPr>
        <w:rFonts w:hint="default"/>
        <w:lang w:val="en-US" w:eastAsia="zh-CN" w:bidi="ar-SA"/>
      </w:rPr>
    </w:lvl>
    <w:lvl w:ilvl="5" w:tplc="9D204CA0">
      <w:numFmt w:val="bullet"/>
      <w:lvlText w:val="•"/>
      <w:lvlJc w:val="left"/>
      <w:pPr>
        <w:ind w:left="5319" w:hanging="467"/>
      </w:pPr>
      <w:rPr>
        <w:rFonts w:hint="default"/>
        <w:lang w:val="en-US" w:eastAsia="zh-CN" w:bidi="ar-SA"/>
      </w:rPr>
    </w:lvl>
    <w:lvl w:ilvl="6" w:tplc="F274F3F4">
      <w:numFmt w:val="bullet"/>
      <w:lvlText w:val="•"/>
      <w:lvlJc w:val="left"/>
      <w:pPr>
        <w:ind w:left="6359" w:hanging="467"/>
      </w:pPr>
      <w:rPr>
        <w:rFonts w:hint="default"/>
        <w:lang w:val="en-US" w:eastAsia="zh-CN" w:bidi="ar-SA"/>
      </w:rPr>
    </w:lvl>
    <w:lvl w:ilvl="7" w:tplc="9E546C0E">
      <w:numFmt w:val="bullet"/>
      <w:lvlText w:val="•"/>
      <w:lvlJc w:val="left"/>
      <w:pPr>
        <w:ind w:left="7399" w:hanging="467"/>
      </w:pPr>
      <w:rPr>
        <w:rFonts w:hint="default"/>
        <w:lang w:val="en-US" w:eastAsia="zh-CN" w:bidi="ar-SA"/>
      </w:rPr>
    </w:lvl>
    <w:lvl w:ilvl="8" w:tplc="DDB4EAB8">
      <w:numFmt w:val="bullet"/>
      <w:lvlText w:val="•"/>
      <w:lvlJc w:val="left"/>
      <w:pPr>
        <w:ind w:left="8439" w:hanging="467"/>
      </w:pPr>
      <w:rPr>
        <w:rFonts w:hint="default"/>
        <w:lang w:val="en-US" w:eastAsia="zh-CN" w:bidi="ar-SA"/>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bordersDoNotSurroundHeader/>
  <w:bordersDoNotSurroundFooter/>
  <w:proofState w:spelling="clean"/>
  <w:defaultTabStop w:val="720"/>
  <w:drawingGridHorizontalSpacing w:val="110"/>
  <w:displayHorizontalDrawingGridEvery w:val="2"/>
  <w:characterSpacingControl w:val="doNotCompress"/>
  <w:hdrShapeDefaults>
    <o:shapedefaults v:ext="edit" spidmax="6146"/>
    <o:shapelayout v:ext="edit">
      <o:idmap v:ext="edit" data="2"/>
    </o:shapelayout>
  </w:hdrShapeDefaults>
  <w:footnotePr>
    <w:footnote w:id="-1"/>
    <w:footnote w:id="0"/>
  </w:footnotePr>
  <w:endnotePr>
    <w:endnote w:id="-1"/>
    <w:endnote w:id="0"/>
  </w:endnotePr>
  <w:compat>
    <w:ulTrailSpace/>
    <w:shapeLayoutLikeWW8/>
    <w:useFELayout/>
  </w:compat>
  <w:rsids>
    <w:rsidRoot w:val="00225C8B"/>
    <w:rsid w:val="00225C8B"/>
    <w:rsid w:val="002F2E1C"/>
    <w:rsid w:val="0037716E"/>
    <w:rsid w:val="004157E0"/>
    <w:rsid w:val="007839CD"/>
    <w:rsid w:val="008A1B91"/>
    <w:rsid w:val="008C5076"/>
    <w:rsid w:val="00966885"/>
    <w:rsid w:val="00C87EEA"/>
    <w:rsid w:val="00D97234"/>
    <w:rsid w:val="00DE2E57"/>
    <w:rsid w:val="00E413AF"/>
    <w:rsid w:val="00E700FA"/>
    <w:rsid w:val="00F8435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413AF"/>
    <w:rPr>
      <w:rFonts w:ascii="微软雅黑" w:eastAsia="微软雅黑" w:hAnsi="微软雅黑" w:cs="微软雅黑"/>
      <w:lang w:eastAsia="zh-CN"/>
    </w:rPr>
  </w:style>
  <w:style w:type="paragraph" w:styleId="1">
    <w:name w:val="heading 1"/>
    <w:basedOn w:val="a"/>
    <w:uiPriority w:val="9"/>
    <w:qFormat/>
    <w:rsid w:val="00E413AF"/>
    <w:pPr>
      <w:ind w:left="472"/>
      <w:outlineLvl w:val="0"/>
    </w:pPr>
    <w:rPr>
      <w:b/>
      <w:bCs/>
      <w:sz w:val="18"/>
      <w:szCs w:val="1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E413AF"/>
    <w:tblPr>
      <w:tblInd w:w="0" w:type="dxa"/>
      <w:tblCellMar>
        <w:top w:w="0" w:type="dxa"/>
        <w:left w:w="0" w:type="dxa"/>
        <w:bottom w:w="0" w:type="dxa"/>
        <w:right w:w="0" w:type="dxa"/>
      </w:tblCellMar>
    </w:tblPr>
  </w:style>
  <w:style w:type="paragraph" w:styleId="a3">
    <w:name w:val="Body Text"/>
    <w:basedOn w:val="a"/>
    <w:uiPriority w:val="1"/>
    <w:qFormat/>
    <w:rsid w:val="00E413AF"/>
    <w:pPr>
      <w:spacing w:before="136"/>
      <w:ind w:left="472"/>
    </w:pPr>
    <w:rPr>
      <w:sz w:val="18"/>
      <w:szCs w:val="18"/>
    </w:rPr>
  </w:style>
  <w:style w:type="paragraph" w:styleId="a4">
    <w:name w:val="Title"/>
    <w:basedOn w:val="a"/>
    <w:uiPriority w:val="10"/>
    <w:qFormat/>
    <w:rsid w:val="00E413AF"/>
    <w:pPr>
      <w:spacing w:before="31"/>
      <w:ind w:left="2759" w:right="2855"/>
      <w:jc w:val="center"/>
    </w:pPr>
    <w:rPr>
      <w:b/>
      <w:bCs/>
      <w:sz w:val="28"/>
      <w:szCs w:val="28"/>
    </w:rPr>
  </w:style>
  <w:style w:type="paragraph" w:styleId="a5">
    <w:name w:val="List Paragraph"/>
    <w:basedOn w:val="a"/>
    <w:uiPriority w:val="1"/>
    <w:qFormat/>
    <w:rsid w:val="00E413AF"/>
    <w:pPr>
      <w:spacing w:before="136"/>
      <w:ind w:left="112" w:firstLine="360"/>
    </w:pPr>
  </w:style>
  <w:style w:type="paragraph" w:customStyle="1" w:styleId="TableParagraph">
    <w:name w:val="Table Paragraph"/>
    <w:basedOn w:val="a"/>
    <w:uiPriority w:val="1"/>
    <w:qFormat/>
    <w:rsid w:val="00E413AF"/>
  </w:style>
  <w:style w:type="paragraph" w:styleId="a6">
    <w:name w:val="header"/>
    <w:basedOn w:val="a"/>
    <w:link w:val="Char"/>
    <w:uiPriority w:val="99"/>
    <w:unhideWhenUsed/>
    <w:rsid w:val="002F2E1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6"/>
    <w:uiPriority w:val="99"/>
    <w:rsid w:val="002F2E1C"/>
    <w:rPr>
      <w:rFonts w:ascii="微软雅黑" w:eastAsia="微软雅黑" w:hAnsi="微软雅黑" w:cs="微软雅黑"/>
      <w:sz w:val="18"/>
      <w:szCs w:val="18"/>
      <w:lang w:eastAsia="zh-CN"/>
    </w:rPr>
  </w:style>
  <w:style w:type="paragraph" w:styleId="a7">
    <w:name w:val="footer"/>
    <w:basedOn w:val="a"/>
    <w:link w:val="Char0"/>
    <w:uiPriority w:val="99"/>
    <w:unhideWhenUsed/>
    <w:rsid w:val="002F2E1C"/>
    <w:pPr>
      <w:tabs>
        <w:tab w:val="center" w:pos="4153"/>
        <w:tab w:val="right" w:pos="8306"/>
      </w:tabs>
      <w:snapToGrid w:val="0"/>
    </w:pPr>
    <w:rPr>
      <w:sz w:val="18"/>
      <w:szCs w:val="18"/>
    </w:rPr>
  </w:style>
  <w:style w:type="character" w:customStyle="1" w:styleId="Char0">
    <w:name w:val="页脚 Char"/>
    <w:basedOn w:val="a0"/>
    <w:link w:val="a7"/>
    <w:uiPriority w:val="99"/>
    <w:rsid w:val="002F2E1C"/>
    <w:rPr>
      <w:rFonts w:ascii="微软雅黑" w:eastAsia="微软雅黑" w:hAnsi="微软雅黑" w:cs="微软雅黑"/>
      <w:sz w:val="18"/>
      <w:szCs w:val="18"/>
      <w:lang w:eastAsia="zh-CN"/>
    </w:rPr>
  </w:style>
  <w:style w:type="character" w:styleId="a8">
    <w:name w:val="annotation reference"/>
    <w:basedOn w:val="a0"/>
    <w:uiPriority w:val="99"/>
    <w:semiHidden/>
    <w:unhideWhenUsed/>
    <w:rsid w:val="00F8435B"/>
    <w:rPr>
      <w:sz w:val="21"/>
      <w:szCs w:val="21"/>
    </w:rPr>
  </w:style>
  <w:style w:type="paragraph" w:styleId="a9">
    <w:name w:val="annotation text"/>
    <w:basedOn w:val="a"/>
    <w:link w:val="Char1"/>
    <w:uiPriority w:val="99"/>
    <w:semiHidden/>
    <w:unhideWhenUsed/>
    <w:rsid w:val="00F8435B"/>
  </w:style>
  <w:style w:type="character" w:customStyle="1" w:styleId="Char1">
    <w:name w:val="批注文字 Char"/>
    <w:basedOn w:val="a0"/>
    <w:link w:val="a9"/>
    <w:uiPriority w:val="99"/>
    <w:semiHidden/>
    <w:rsid w:val="00F8435B"/>
    <w:rPr>
      <w:rFonts w:ascii="微软雅黑" w:eastAsia="微软雅黑" w:hAnsi="微软雅黑" w:cs="微软雅黑"/>
      <w:lang w:eastAsia="zh-CN"/>
    </w:rPr>
  </w:style>
  <w:style w:type="paragraph" w:styleId="aa">
    <w:name w:val="annotation subject"/>
    <w:basedOn w:val="a9"/>
    <w:next w:val="a9"/>
    <w:link w:val="Char2"/>
    <w:uiPriority w:val="99"/>
    <w:semiHidden/>
    <w:unhideWhenUsed/>
    <w:rsid w:val="00F8435B"/>
    <w:rPr>
      <w:b/>
      <w:bCs/>
    </w:rPr>
  </w:style>
  <w:style w:type="character" w:customStyle="1" w:styleId="Char2">
    <w:name w:val="批注主题 Char"/>
    <w:basedOn w:val="Char1"/>
    <w:link w:val="aa"/>
    <w:uiPriority w:val="99"/>
    <w:semiHidden/>
    <w:rsid w:val="00F8435B"/>
    <w:rPr>
      <w:rFonts w:ascii="微软雅黑" w:eastAsia="微软雅黑" w:hAnsi="微软雅黑" w:cs="微软雅黑"/>
      <w:b/>
      <w:bCs/>
      <w:lang w:eastAsia="zh-CN"/>
    </w:rPr>
  </w:style>
  <w:style w:type="paragraph" w:styleId="ab">
    <w:name w:val="Balloon Text"/>
    <w:basedOn w:val="a"/>
    <w:link w:val="Char3"/>
    <w:uiPriority w:val="99"/>
    <w:semiHidden/>
    <w:unhideWhenUsed/>
    <w:rsid w:val="00F8435B"/>
    <w:rPr>
      <w:sz w:val="18"/>
      <w:szCs w:val="18"/>
    </w:rPr>
  </w:style>
  <w:style w:type="character" w:customStyle="1" w:styleId="Char3">
    <w:name w:val="批注框文本 Char"/>
    <w:basedOn w:val="a0"/>
    <w:link w:val="ab"/>
    <w:uiPriority w:val="99"/>
    <w:semiHidden/>
    <w:rsid w:val="00F8435B"/>
    <w:rPr>
      <w:rFonts w:ascii="微软雅黑" w:eastAsia="微软雅黑" w:hAnsi="微软雅黑" w:cs="微软雅黑"/>
      <w:sz w:val="18"/>
      <w:szCs w:val="18"/>
      <w:lang w:eastAsia="zh-CN"/>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20</TotalTime>
  <Pages>6</Pages>
  <Words>797</Words>
  <Characters>4549</Characters>
  <Application>Microsoft Office Word</Application>
  <DocSecurity>0</DocSecurity>
  <Lines>37</Lines>
  <Paragraphs>10</Paragraphs>
  <ScaleCrop>false</ScaleCrop>
  <Company/>
  <LinksUpToDate>false</LinksUpToDate>
  <CharactersWithSpaces>5336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YUNART5</dc:creator>
  <cp:lastModifiedBy>Administrator</cp:lastModifiedBy>
  <cp:revision>7</cp:revision>
  <dcterms:created xsi:type="dcterms:W3CDTF">2021-12-23T09:53:00Z</dcterms:created>
  <dcterms:modified xsi:type="dcterms:W3CDTF">2022-06-20T11:51:00Z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2020-03-24T00:00:00Z</vt:filetime>
  </property>
  <property fmtid="{D5CDD505-2E9C-101B-9397-08002B2CF9AE}" pid="3" name="Creator">
    <vt:lpwstr>Microsoft® Word 2013</vt:lpwstr>
  </property>
  <property fmtid="{D5CDD505-2E9C-101B-9397-08002B2CF9AE}" pid="4" name="LastSaved">
    <vt:filetime>2021-12-23T00:00:00Z</vt:filetime>
  </property>
</Properties>
</file>