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0"/>
        <w:rPr>
          <w:rFonts w:ascii="Times New Roman"/>
          <w:sz w:val="4"/>
        </w:rPr>
      </w:pPr>
      <w:bookmarkStart w:id="0" w:name="_GoBack"/>
      <w:bookmarkEnd w:id="0"/>
    </w:p>
    <w:p>
      <w:pPr>
        <w:pStyle w:val="2"/>
        <w:spacing w:line="20" w:lineRule="exact"/>
        <w:ind w:left="283"/>
        <w:rPr>
          <w:rFonts w:ascii="Times New Roman"/>
          <w:sz w:val="2"/>
        </w:rPr>
      </w:pPr>
    </w:p>
    <w:p>
      <w:pPr>
        <w:pStyle w:val="6"/>
      </w:pPr>
      <w:r>
        <w:t>攀赢基金机构税收居民身份声明文件</w:t>
      </w:r>
    </w:p>
    <w:p>
      <w:pPr>
        <w:pStyle w:val="2"/>
        <w:tabs>
          <w:tab w:val="left" w:pos="7738"/>
        </w:tabs>
        <w:spacing w:before="193"/>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账户名称：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rPr>
        <w:tab/>
      </w:r>
    </w:p>
    <w:p>
      <w:pPr>
        <w:pStyle w:val="2"/>
        <w:spacing w:before="4"/>
        <w:rPr>
          <w:rFonts w:hint="eastAsia" w:asciiTheme="minorEastAsia" w:hAnsiTheme="minorEastAsia" w:eastAsiaTheme="minorEastAsia" w:cstheme="minorEastAsia"/>
          <w:sz w:val="18"/>
          <w:szCs w:val="18"/>
        </w:rPr>
      </w:pPr>
    </w:p>
    <w:p>
      <w:pPr>
        <w:spacing w:before="15"/>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一、机构类别：</w:t>
      </w:r>
    </w:p>
    <w:p>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1.消极非金融机构（如勾选此项，请同时填写控制人税收居民身份声明文件）</w:t>
      </w:r>
    </w:p>
    <w:p>
      <w:pPr>
        <w:pStyle w:val="2"/>
        <w:spacing w:before="9"/>
        <w:rPr>
          <w:rFonts w:hint="eastAsia" w:asciiTheme="minorEastAsia" w:hAnsiTheme="minorEastAsia" w:eastAsiaTheme="minorEastAsia" w:cstheme="minorEastAsia"/>
          <w:sz w:val="18"/>
          <w:szCs w:val="18"/>
        </w:rPr>
      </w:pPr>
    </w:p>
    <w:p>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2.其他非金融机构</w:t>
      </w:r>
    </w:p>
    <w:p>
      <w:pPr>
        <w:pStyle w:val="2"/>
        <w:tabs>
          <w:tab w:val="left" w:pos="7738"/>
        </w:tabs>
        <w:spacing w:before="193"/>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二、机构税收居民身份：</w:t>
      </w:r>
    </w:p>
    <w:p>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1.仅为中国税收居民（如勾选此项，请直接填写第五项内容）</w:t>
      </w:r>
    </w:p>
    <w:p>
      <w:pPr>
        <w:pStyle w:val="2"/>
        <w:spacing w:before="9"/>
        <w:rPr>
          <w:rFonts w:hint="eastAsia" w:asciiTheme="minorEastAsia" w:hAnsiTheme="minorEastAsia" w:eastAsiaTheme="minorEastAsia" w:cstheme="minorEastAsia"/>
          <w:sz w:val="18"/>
          <w:szCs w:val="18"/>
        </w:rPr>
      </w:pPr>
    </w:p>
    <w:p>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2.仅为非居民</w:t>
      </w:r>
    </w:p>
    <w:p>
      <w:pPr>
        <w:pStyle w:val="2"/>
        <w:spacing w:before="9"/>
        <w:rPr>
          <w:rFonts w:hint="eastAsia" w:asciiTheme="minorEastAsia" w:hAnsiTheme="minorEastAsia" w:eastAsiaTheme="minorEastAsia" w:cstheme="minorEastAsia"/>
          <w:sz w:val="18"/>
          <w:szCs w:val="18"/>
        </w:rPr>
      </w:pPr>
    </w:p>
    <w:p>
      <w:pPr>
        <w:pStyle w:val="11"/>
        <w:numPr>
          <w:ilvl w:val="0"/>
          <w:numId w:val="1"/>
        </w:numPr>
        <w:tabs>
          <w:tab w:val="left" w:pos="584"/>
        </w:tabs>
        <w:spacing w:line="360" w:lineRule="auto"/>
        <w:ind w:right="5993" w:firstLine="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pacing w:val="-1"/>
          <w:sz w:val="18"/>
          <w:szCs w:val="18"/>
        </w:rPr>
        <w:t>3.既是中国税收居民又是其他国家</w:t>
      </w:r>
      <w:r>
        <w:rPr>
          <w:rFonts w:hint="eastAsia" w:asciiTheme="minorEastAsia" w:hAnsiTheme="minorEastAsia" w:eastAsiaTheme="minorEastAsia" w:cstheme="minorEastAsia"/>
          <w:sz w:val="18"/>
          <w:szCs w:val="18"/>
        </w:rPr>
        <w:t>（地区）税收居民</w:t>
      </w:r>
    </w:p>
    <w:p>
      <w:pPr>
        <w:spacing w:before="15" w:line="295" w:lineRule="auto"/>
        <w:ind w:left="312" w:right="205"/>
        <w:rPr>
          <w:rFonts w:hint="eastAsia" w:asciiTheme="minorEastAsia" w:hAnsiTheme="minorEastAsia" w:eastAsiaTheme="minorEastAsia" w:cstheme="minorEastAsia"/>
          <w:b/>
          <w:w w:val="95"/>
          <w:sz w:val="18"/>
          <w:szCs w:val="18"/>
        </w:rPr>
      </w:pPr>
      <w:r>
        <w:rPr>
          <w:rFonts w:hint="eastAsia" w:asciiTheme="minorEastAsia" w:hAnsiTheme="minorEastAsia" w:eastAsiaTheme="minorEastAsia" w:cstheme="minorEastAsia"/>
          <w:b/>
          <w:w w:val="95"/>
          <w:sz w:val="18"/>
          <w:szCs w:val="18"/>
        </w:rPr>
        <w:t>三、机构基本信息</w:t>
      </w:r>
    </w:p>
    <w:p>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1. 机构名称（英文）：</w:t>
      </w:r>
      <w:r>
        <w:rPr>
          <w:rFonts w:hint="eastAsia" w:asciiTheme="minorEastAsia" w:hAnsiTheme="minorEastAsia" w:eastAsiaTheme="minorEastAsia" w:cstheme="minorEastAsia"/>
          <w:bCs/>
          <w:w w:val="95"/>
          <w:sz w:val="18"/>
          <w:szCs w:val="18"/>
          <w:u w:val="single"/>
        </w:rPr>
        <w:t xml:space="preserve">                                                                                           </w:t>
      </w:r>
    </w:p>
    <w:p>
      <w:pPr>
        <w:spacing w:before="15" w:line="360" w:lineRule="auto"/>
        <w:ind w:left="312" w:right="205"/>
        <w:rPr>
          <w:rFonts w:hint="eastAsia" w:asciiTheme="minorEastAsia" w:hAnsiTheme="minorEastAsia" w:eastAsiaTheme="minorEastAsia" w:cstheme="minorEastAsia"/>
          <w:bCs/>
          <w:w w:val="95"/>
          <w:sz w:val="18"/>
          <w:szCs w:val="18"/>
          <w:u w:val="single"/>
        </w:rPr>
      </w:pPr>
      <w:r>
        <w:rPr>
          <w:rFonts w:hint="eastAsia" w:asciiTheme="minorEastAsia" w:hAnsiTheme="minorEastAsia" w:eastAsiaTheme="minorEastAsia" w:cstheme="minorEastAsia"/>
          <w:bCs/>
          <w:w w:val="95"/>
          <w:sz w:val="18"/>
          <w:szCs w:val="18"/>
        </w:rPr>
        <w:t>2. 机构地址（英文或拼音）：</w:t>
      </w:r>
      <w:r>
        <w:rPr>
          <w:rFonts w:hint="eastAsia" w:asciiTheme="minorEastAsia" w:hAnsiTheme="minorEastAsia" w:eastAsiaTheme="minorEastAsia" w:cstheme="minorEastAsia"/>
          <w:bCs/>
          <w:w w:val="95"/>
          <w:sz w:val="18"/>
          <w:szCs w:val="18"/>
          <w:u w:val="single"/>
        </w:rPr>
        <w:t xml:space="preserve">               （国家）            （省）            （市）                          </w:t>
      </w:r>
    </w:p>
    <w:p>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 xml:space="preserve">3. 机构地址（中文）： </w:t>
      </w:r>
      <w:r>
        <w:rPr>
          <w:rFonts w:hint="eastAsia" w:asciiTheme="minorEastAsia" w:hAnsiTheme="minorEastAsia" w:eastAsiaTheme="minorEastAsia" w:cstheme="minorEastAsia"/>
          <w:bCs/>
          <w:w w:val="95"/>
          <w:sz w:val="18"/>
          <w:szCs w:val="18"/>
          <w:u w:val="single"/>
        </w:rPr>
        <w:t xml:space="preserve">              （国家）               （省）             （市）              </w:t>
      </w:r>
      <w:r>
        <w:rPr>
          <w:rFonts w:hint="eastAsia" w:asciiTheme="minorEastAsia" w:hAnsiTheme="minorEastAsia" w:eastAsiaTheme="minorEastAsia" w:cstheme="minorEastAsia"/>
          <w:bCs/>
          <w:w w:val="95"/>
          <w:sz w:val="18"/>
          <w:szCs w:val="18"/>
        </w:rPr>
        <w:t xml:space="preserve"> （境外地址可不填此项） </w:t>
      </w:r>
    </w:p>
    <w:p>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四、税收居民国（地区</w:t>
      </w:r>
      <w:r>
        <w:rPr>
          <w:rFonts w:hint="eastAsia" w:asciiTheme="minorEastAsia" w:hAnsiTheme="minorEastAsia" w:eastAsiaTheme="minorEastAsia" w:cstheme="minorEastAsia"/>
          <w:b/>
          <w:sz w:val="18"/>
          <w:szCs w:val="18"/>
        </w:rPr>
        <w:t>）及纳税人识别号：</w:t>
      </w:r>
    </w:p>
    <w:p>
      <w:pPr>
        <w:pStyle w:val="2"/>
        <w:tabs>
          <w:tab w:val="left" w:pos="5540"/>
        </w:tabs>
        <w:spacing w:before="134"/>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u w:val="single"/>
        </w:rPr>
        <w:tab/>
      </w:r>
    </w:p>
    <w:p>
      <w:pPr>
        <w:pStyle w:val="2"/>
        <w:spacing w:before="10"/>
        <w:rPr>
          <w:rFonts w:hint="eastAsia" w:asciiTheme="minorEastAsia" w:hAnsiTheme="minorEastAsia" w:eastAsiaTheme="minorEastAsia" w:cstheme="minorEastAsia"/>
          <w:sz w:val="18"/>
          <w:szCs w:val="18"/>
        </w:rPr>
      </w:pPr>
    </w:p>
    <w:p>
      <w:pPr>
        <w:tabs>
          <w:tab w:val="left" w:pos="4817"/>
          <w:tab w:val="left" w:pos="4818"/>
        </w:tabs>
        <w:spacing w:before="75"/>
        <w:ind w:firstLine="360"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2.</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pPr>
        <w:pStyle w:val="2"/>
        <w:spacing w:before="11"/>
        <w:rPr>
          <w:rFonts w:hint="eastAsia" w:asciiTheme="minorEastAsia" w:hAnsiTheme="minorEastAsia" w:eastAsiaTheme="minorEastAsia" w:cstheme="minorEastAsia"/>
          <w:sz w:val="18"/>
          <w:szCs w:val="18"/>
        </w:rPr>
      </w:pPr>
    </w:p>
    <w:p>
      <w:pPr>
        <w:tabs>
          <w:tab w:val="left" w:pos="4817"/>
          <w:tab w:val="left" w:pos="4818"/>
        </w:tabs>
        <w:spacing w:before="75"/>
        <w:ind w:firstLine="356"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pacing w:val="-1"/>
          <w:sz w:val="18"/>
          <w:szCs w:val="18"/>
        </w:rPr>
        <w:t>3.</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pPr>
        <w:pStyle w:val="2"/>
        <w:spacing w:before="10"/>
        <w:rPr>
          <w:rFonts w:hint="eastAsia" w:asciiTheme="minorEastAsia" w:hAnsiTheme="minorEastAsia" w:eastAsiaTheme="minorEastAsia" w:cstheme="minorEastAsia"/>
          <w:sz w:val="18"/>
          <w:szCs w:val="18"/>
        </w:rPr>
      </w:pPr>
    </w:p>
    <w:p>
      <w:pPr>
        <w:pStyle w:val="2"/>
        <w:spacing w:before="75"/>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如果不能提供居民国（地区）纳税人识别号，请选择原因：</w:t>
      </w:r>
    </w:p>
    <w:p>
      <w:pPr>
        <w:pStyle w:val="2"/>
        <w:spacing w:before="8"/>
        <w:rPr>
          <w:rFonts w:hint="eastAsia" w:asciiTheme="minorEastAsia" w:hAnsiTheme="minorEastAsia" w:eastAsiaTheme="minorEastAsia" w:cstheme="minorEastAsia"/>
          <w:sz w:val="18"/>
          <w:szCs w:val="18"/>
        </w:rPr>
      </w:pPr>
    </w:p>
    <w:p>
      <w:pPr>
        <w:pStyle w:val="11"/>
        <w:numPr>
          <w:ilvl w:val="0"/>
          <w:numId w:val="1"/>
        </w:numPr>
        <w:tabs>
          <w:tab w:val="left" w:pos="584"/>
        </w:tabs>
        <w:spacing w:before="1"/>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居民国（地区）不发放纳税人识别号</w:t>
      </w:r>
    </w:p>
    <w:p>
      <w:pPr>
        <w:pStyle w:val="2"/>
        <w:spacing w:before="8"/>
        <w:rPr>
          <w:rFonts w:hint="eastAsia" w:asciiTheme="minorEastAsia" w:hAnsiTheme="minorEastAsia" w:eastAsiaTheme="minorEastAsia" w:cstheme="minorEastAsia"/>
          <w:sz w:val="18"/>
          <w:szCs w:val="18"/>
        </w:rPr>
      </w:pPr>
    </w:p>
    <w:p>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账户持有人未能取得纳税人识别号，如选此项，请解释具体原因：</w:t>
      </w:r>
    </w:p>
    <w:p>
      <w:pPr>
        <w:pStyle w:val="2"/>
        <w:rPr>
          <w:rFonts w:hint="eastAsia" w:asciiTheme="minorEastAsia" w:hAnsiTheme="minorEastAsia" w:eastAsiaTheme="minorEastAsia" w:cstheme="minorEastAsia"/>
          <w:sz w:val="18"/>
          <w:szCs w:val="18"/>
        </w:rPr>
      </w:pPr>
    </w:p>
    <w:p>
      <w:pPr>
        <w:pStyle w:val="2"/>
        <w:spacing w:before="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mc:AlternateContent>
          <mc:Choice Requires="wps">
            <w:drawing>
              <wp:anchor distT="0" distB="0" distL="114300" distR="114300" simplePos="0" relativeHeight="251659264" behindDoc="1" locked="0" layoutInCell="1" allowOverlap="1">
                <wp:simplePos x="0" y="0"/>
                <wp:positionH relativeFrom="page">
                  <wp:posOffset>541020</wp:posOffset>
                </wp:positionH>
                <wp:positionV relativeFrom="paragraph">
                  <wp:posOffset>149860</wp:posOffset>
                </wp:positionV>
                <wp:extent cx="6477000" cy="6350"/>
                <wp:effectExtent l="0" t="0" r="0" b="0"/>
                <wp:wrapTopAndBottom/>
                <wp:docPr id="1" name="docshape6"/>
                <wp:cNvGraphicFramePr/>
                <a:graphic xmlns:a="http://schemas.openxmlformats.org/drawingml/2006/main">
                  <a:graphicData uri="http://schemas.microsoft.com/office/word/2010/wordprocessingShape">
                    <wps:wsp>
                      <wps:cNvSpPr/>
                      <wps:spPr>
                        <a:xfrm>
                          <a:off x="0" y="0"/>
                          <a:ext cx="6477000" cy="6350"/>
                        </a:xfrm>
                        <a:prstGeom prst="rect">
                          <a:avLst/>
                        </a:prstGeom>
                        <a:solidFill>
                          <a:srgbClr val="000000"/>
                        </a:solidFill>
                        <a:ln>
                          <a:noFill/>
                        </a:ln>
                      </wps:spPr>
                      <wps:bodyPr upright="1"/>
                    </wps:wsp>
                  </a:graphicData>
                </a:graphic>
              </wp:anchor>
            </w:drawing>
          </mc:Choice>
          <mc:Fallback>
            <w:pict>
              <v:rect id="docshape6" o:spid="_x0000_s1026" o:spt="1" style="position:absolute;left:0pt;margin-left:42.6pt;margin-top:11.8pt;height:0.5pt;width:510pt;mso-position-horizontal-relative:page;mso-wrap-distance-bottom:0pt;mso-wrap-distance-top:0pt;z-index:-251657216;mso-width-relative:page;mso-height-relative:page;" fillcolor="#000000" filled="t" stroked="f" coordsize="21600,21600" o:gfxdata="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OZvmu1wAAAAkBAAAPAAAA&#10;AAAAAAEAIAAAACIAAABkcnMvZG93bnJldi54bWxQSwECFAAUAAAACACHTuJAH74VgqQBAABeAwAA&#10;DgAAAAAAAAABACAAAAAmAQAAZHJzL2Uyb0RvYy54bWxQSwUGAAAAAAYABgBZAQAAPAUAAAAA&#10;">
                <v:fill on="t" focussize="0,0"/>
                <v:stroke on="f"/>
                <v:imagedata o:title=""/>
                <o:lock v:ext="edit" aspectratio="f"/>
                <w10:wrap type="topAndBottom"/>
              </v:rect>
            </w:pict>
          </mc:Fallback>
        </mc:AlternateContent>
      </w:r>
    </w:p>
    <w:p>
      <w:pPr>
        <w:pStyle w:val="2"/>
        <w:spacing w:before="5"/>
        <w:rPr>
          <w:rFonts w:hint="eastAsia" w:asciiTheme="minorEastAsia" w:hAnsiTheme="minorEastAsia" w:eastAsiaTheme="minorEastAsia" w:cstheme="minorEastAsia"/>
          <w:sz w:val="18"/>
          <w:szCs w:val="18"/>
        </w:rPr>
      </w:pPr>
    </w:p>
    <w:p>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五、本人确认上述信息的真实、准确和完整，且当这些信息发生变更时，将在15日内通知贵机构，否则本人承担由此造成的不利</w:t>
      </w:r>
      <w:r>
        <w:rPr>
          <w:rFonts w:hint="eastAsia" w:asciiTheme="minorEastAsia" w:hAnsiTheme="minorEastAsia" w:eastAsiaTheme="minorEastAsia" w:cstheme="minorEastAsia"/>
          <w:b/>
          <w:sz w:val="18"/>
          <w:szCs w:val="18"/>
        </w:rPr>
        <w:t>后果。</w:t>
      </w:r>
    </w:p>
    <w:p>
      <w:pPr>
        <w:tabs>
          <w:tab w:val="left" w:pos="5103"/>
        </w:tabs>
        <w:spacing w:line="328" w:lineRule="exact"/>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w:t>
      </w:r>
      <w:r>
        <w:rPr>
          <w:rFonts w:hint="eastAsia" w:asciiTheme="minorEastAsia" w:hAnsiTheme="minorEastAsia" w:eastAsiaTheme="minorEastAsia" w:cstheme="minorEastAsia"/>
          <w:b/>
          <w:sz w:val="18"/>
          <w:szCs w:val="18"/>
        </w:rPr>
        <w:tab/>
      </w:r>
      <w:r>
        <w:rPr>
          <w:rFonts w:hint="eastAsia" w:asciiTheme="minorEastAsia" w:hAnsiTheme="minorEastAsia" w:eastAsiaTheme="minorEastAsia" w:cstheme="minorEastAsia"/>
          <w:b/>
          <w:sz w:val="18"/>
          <w:szCs w:val="18"/>
        </w:rPr>
        <w:t>日期：</w:t>
      </w:r>
    </w:p>
    <w:p>
      <w:pPr>
        <w:spacing w:before="75" w:line="588" w:lineRule="auto"/>
        <w:ind w:left="312" w:right="787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（签名人身份须为机构授权人）</w:t>
      </w:r>
      <w:r>
        <w:rPr>
          <w:rFonts w:hint="eastAsia" w:asciiTheme="minorEastAsia" w:hAnsiTheme="minorEastAsia" w:eastAsiaTheme="minorEastAsia" w:cstheme="minorEastAsia"/>
          <w:b/>
          <w:spacing w:val="-42"/>
          <w:sz w:val="18"/>
          <w:szCs w:val="18"/>
        </w:rPr>
        <w:t xml:space="preserve"> </w:t>
      </w:r>
      <w:r>
        <w:rPr>
          <w:rFonts w:hint="eastAsia" w:asciiTheme="minorEastAsia" w:hAnsiTheme="minorEastAsia" w:eastAsiaTheme="minorEastAsia" w:cstheme="minorEastAsia"/>
          <w:b/>
          <w:sz w:val="18"/>
          <w:szCs w:val="18"/>
        </w:rPr>
        <w:t>机构公章：</w:t>
      </w:r>
    </w:p>
    <w:p>
      <w:pPr>
        <w:spacing w:line="588" w:lineRule="auto"/>
        <w:rPr>
          <w:rFonts w:hint="eastAsia" w:asciiTheme="minorEastAsia" w:hAnsiTheme="minorEastAsia" w:eastAsiaTheme="minorEastAsia" w:cstheme="minorEastAsia"/>
          <w:sz w:val="18"/>
          <w:szCs w:val="18"/>
        </w:rPr>
        <w:sectPr>
          <w:headerReference r:id="rId3" w:type="default"/>
          <w:footerReference r:id="rId4" w:type="default"/>
          <w:type w:val="continuous"/>
          <w:pgSz w:w="11900" w:h="16850"/>
          <w:pgMar w:top="1400" w:right="640" w:bottom="1560" w:left="540" w:header="1173" w:footer="811" w:gutter="0"/>
          <w:pgNumType w:start="1"/>
          <w:cols w:space="720" w:num="1"/>
          <w:docGrid w:linePitch="299" w:charSpace="0"/>
        </w:sectPr>
      </w:pPr>
    </w:p>
    <w:p>
      <w:pPr>
        <w:spacing w:before="81"/>
        <w:ind w:left="312"/>
        <w:rPr>
          <w:rFonts w:hint="eastAsia" w:asciiTheme="minorEastAsia" w:hAnsiTheme="minorEastAsia" w:eastAsiaTheme="minorEastAsia" w:cstheme="minorEastAsia"/>
          <w:b/>
          <w:bCs/>
          <w:spacing w:val="-1"/>
          <w:sz w:val="18"/>
          <w:szCs w:val="18"/>
          <w:lang w:val="en-US" w:eastAsia="zh-CN" w:bidi="ar-SA"/>
        </w:rPr>
      </w:pPr>
      <w:r>
        <w:rPr>
          <w:rFonts w:hint="eastAsia" w:asciiTheme="minorEastAsia" w:hAnsiTheme="minorEastAsia" w:eastAsiaTheme="minorEastAsia" w:cstheme="minorEastAsia"/>
          <w:b/>
          <w:bCs/>
          <w:spacing w:val="-1"/>
          <w:sz w:val="18"/>
          <w:szCs w:val="18"/>
          <w:lang w:val="en-US" w:eastAsia="zh-CN" w:bidi="ar-SA"/>
        </w:rPr>
        <w:t>说明：</w:t>
      </w:r>
    </w:p>
    <w:p>
      <w:pPr>
        <w:pStyle w:val="11"/>
        <w:numPr>
          <w:ilvl w:val="0"/>
          <w:numId w:val="2"/>
        </w:numPr>
        <w:tabs>
          <w:tab w:val="left" w:pos="673"/>
        </w:tabs>
        <w:spacing w:before="71" w:line="324" w:lineRule="auto"/>
        <w:ind w:right="323"/>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本表所称中国税收居民是指依法在中国境内成立，或者依照外国(地区)法律成立但实际管理机构在中国境内的企业和其他组织。</w:t>
      </w:r>
    </w:p>
    <w:p>
      <w:pPr>
        <w:pStyle w:val="11"/>
        <w:numPr>
          <w:ilvl w:val="0"/>
          <w:numId w:val="2"/>
        </w:numPr>
        <w:tabs>
          <w:tab w:val="left" w:pos="673"/>
        </w:tabs>
        <w:spacing w:before="2" w:line="324" w:lineRule="auto"/>
        <w:ind w:right="204"/>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w:t>
      </w:r>
    </w:p>
    <w:p>
      <w:pPr>
        <w:pStyle w:val="11"/>
        <w:numPr>
          <w:ilvl w:val="0"/>
          <w:numId w:val="2"/>
        </w:numPr>
        <w:tabs>
          <w:tab w:val="left" w:pos="673"/>
        </w:tabs>
        <w:spacing w:before="2" w:line="324" w:lineRule="auto"/>
        <w:ind w:right="11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金融机构包括存款机构、托管机构、投资机构、特定的保险机构及其分支机构。（1）存款机构指在日常经营活动中吸收存款的机构；（2）托管机构是指近三个会计年度总收入的   20%以上来源于为客户持有金融资产的机构，机构成立不满三年的，按机构存续期间计算；（3）投资机构是指符合以下条件之一的机构：A.近三个会计年度总收入的 50%以上收入来源于为客户投资、运作金融资产的机构，机构成立不满三年的，按机构存续期间计算；B.近三个会计年度总收入的 50%以上收入来源于投资、再投资或者买卖金融资产，且由存款机构、托管机构、特定保险机构或者 A 项所述投资机构进行管理并作出投资决策的机构， 机构成立不满三年的，按机构存续期间计算；C.证券投资基金、私募投资基金等以投资、再投资或者买卖金融资产为目的而设立的投资实体。（4）特定的保险机构指开展有现金价值的保险或者年金业务的机构。本办法所称保险机构是指上一公历年度内，保险、再保险和年金合同的收入占总收入比重 50%以上的机构，或者在上一公历年度末拥有的保险、再保险和年金合同的资产占总资产比重 50%以上的机构。</w:t>
      </w:r>
    </w:p>
    <w:p>
      <w:pPr>
        <w:pStyle w:val="11"/>
        <w:numPr>
          <w:ilvl w:val="0"/>
          <w:numId w:val="2"/>
        </w:numPr>
        <w:tabs>
          <w:tab w:val="left" w:pos="673"/>
        </w:tabs>
        <w:spacing w:before="6" w:line="324" w:lineRule="auto"/>
        <w:ind w:right="115"/>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消极非金融机构是指：（1）上一公历年度内，股息、利息、租金、特许权使用费（由贸易或者其他实质经营活动产生的租金和特许权使用费除外）以及据以产生前述收入的金融资产转让收入占总收入比重 50%以上的非金融机构；（2）上一公历年度末拥有的可以产生上述收入的金融资产占总资产比重 50%以上的非金融机构，可依据经审计的财务报表进行确认；（3）税收居民国（地区）不实施金融账户涉税信息自动交换标准的投资机构。实施金融账户涉税信息自动交换标准的国家（地区）名单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pPr>
        <w:pStyle w:val="11"/>
        <w:numPr>
          <w:ilvl w:val="0"/>
          <w:numId w:val="2"/>
        </w:numPr>
        <w:tabs>
          <w:tab w:val="left" w:pos="673"/>
        </w:tabs>
        <w:spacing w:before="6"/>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控制人是指对某一机构实施控制的个人。公司的控制人按照以下规则依次判定：</w:t>
      </w:r>
    </w:p>
    <w:p>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直接或者间接拥有超过 25%公司股权或者表决权的个人；</w:t>
      </w:r>
    </w:p>
    <w:p>
      <w:pPr>
        <w:pStyle w:val="11"/>
        <w:numPr>
          <w:ilvl w:val="1"/>
          <w:numId w:val="2"/>
        </w:numPr>
        <w:tabs>
          <w:tab w:val="left" w:pos="1125"/>
        </w:tabs>
        <w:spacing w:before="82"/>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通过人事、财务等其他方式对公司进行控制的个人；</w:t>
      </w:r>
    </w:p>
    <w:p>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公司的高级管理人员。</w:t>
      </w:r>
    </w:p>
    <w:p>
      <w:pPr>
        <w:pStyle w:val="2"/>
        <w:spacing w:before="81" w:line="324" w:lineRule="auto"/>
        <w:ind w:left="312" w:right="20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合伙企业的控制人是拥有超过 25%合伙权益的个人；信托的控制人是指信托的委托人、受托人、受益人以及其他对信托实施最终有效控制的个人；基金的控制人是指拥有超过 25%权益份额或者其他对基金进行控制的个人。</w:t>
      </w:r>
    </w:p>
    <w:p>
      <w:pPr>
        <w:pStyle w:val="11"/>
        <w:numPr>
          <w:ilvl w:val="0"/>
          <w:numId w:val="2"/>
        </w:numPr>
        <w:tabs>
          <w:tab w:val="left" w:pos="586"/>
        </w:tabs>
        <w:spacing w:before="2" w:line="324" w:lineRule="auto"/>
        <w:ind w:left="312" w:right="233" w:firstLine="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
          <w:sz w:val="18"/>
          <w:szCs w:val="18"/>
        </w:rPr>
        <w:t>政府机构、国际组织、中央银行、金融机构或者在证券市场上市交易的公司及其关联机构，以及事业单位、军队、武警部队、</w:t>
      </w:r>
      <w:r>
        <w:rPr>
          <w:rFonts w:hint="eastAsia" w:asciiTheme="minorEastAsia" w:hAnsiTheme="minorEastAsia" w:eastAsiaTheme="minorEastAsia" w:cstheme="minorEastAsia"/>
          <w:sz w:val="18"/>
          <w:szCs w:val="18"/>
        </w:rPr>
        <w:t>居委会、村委会、社区委员会、社会团体等单位无需填写此声明文件。</w:t>
      </w:r>
    </w:p>
    <w:sectPr>
      <w:pgSz w:w="11900" w:h="16850"/>
      <w:pgMar w:top="1400" w:right="640" w:bottom="1560" w:left="540" w:header="1173" w:footer="81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8460" w:hanging="8460" w:hangingChars="4700"/>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p>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B6F51"/>
    <w:multiLevelType w:val="multilevel"/>
    <w:tmpl w:val="2E7B6F51"/>
    <w:lvl w:ilvl="0" w:tentative="0">
      <w:start w:val="0"/>
      <w:numFmt w:val="bullet"/>
      <w:lvlText w:val="□"/>
      <w:lvlJc w:val="left"/>
      <w:pPr>
        <w:ind w:left="312" w:hanging="272"/>
      </w:pPr>
      <w:rPr>
        <w:rFonts w:hint="default" w:ascii="宋体" w:hAnsi="宋体" w:eastAsia="宋体" w:cs="宋体"/>
        <w:b w:val="0"/>
        <w:bCs w:val="0"/>
        <w:i w:val="0"/>
        <w:iCs w:val="0"/>
        <w:w w:val="100"/>
        <w:sz w:val="18"/>
        <w:szCs w:val="18"/>
        <w:lang w:val="en-US" w:eastAsia="zh-CN" w:bidi="ar-SA"/>
      </w:rPr>
    </w:lvl>
    <w:lvl w:ilvl="1" w:tentative="0">
      <w:start w:val="0"/>
      <w:numFmt w:val="bullet"/>
      <w:lvlText w:val="•"/>
      <w:lvlJc w:val="left"/>
      <w:pPr>
        <w:ind w:left="1359" w:hanging="272"/>
      </w:pPr>
      <w:rPr>
        <w:rFonts w:hint="default"/>
        <w:lang w:val="en-US" w:eastAsia="zh-CN" w:bidi="ar-SA"/>
      </w:rPr>
    </w:lvl>
    <w:lvl w:ilvl="2" w:tentative="0">
      <w:start w:val="0"/>
      <w:numFmt w:val="bullet"/>
      <w:lvlText w:val="•"/>
      <w:lvlJc w:val="left"/>
      <w:pPr>
        <w:ind w:left="2399" w:hanging="272"/>
      </w:pPr>
      <w:rPr>
        <w:rFonts w:hint="default"/>
        <w:lang w:val="en-US" w:eastAsia="zh-CN" w:bidi="ar-SA"/>
      </w:rPr>
    </w:lvl>
    <w:lvl w:ilvl="3" w:tentative="0">
      <w:start w:val="0"/>
      <w:numFmt w:val="bullet"/>
      <w:lvlText w:val="•"/>
      <w:lvlJc w:val="left"/>
      <w:pPr>
        <w:ind w:left="3439" w:hanging="272"/>
      </w:pPr>
      <w:rPr>
        <w:rFonts w:hint="default"/>
        <w:lang w:val="en-US" w:eastAsia="zh-CN" w:bidi="ar-SA"/>
      </w:rPr>
    </w:lvl>
    <w:lvl w:ilvl="4" w:tentative="0">
      <w:start w:val="0"/>
      <w:numFmt w:val="bullet"/>
      <w:lvlText w:val="•"/>
      <w:lvlJc w:val="left"/>
      <w:pPr>
        <w:ind w:left="4479" w:hanging="272"/>
      </w:pPr>
      <w:rPr>
        <w:rFonts w:hint="default"/>
        <w:lang w:val="en-US" w:eastAsia="zh-CN" w:bidi="ar-SA"/>
      </w:rPr>
    </w:lvl>
    <w:lvl w:ilvl="5" w:tentative="0">
      <w:start w:val="0"/>
      <w:numFmt w:val="bullet"/>
      <w:lvlText w:val="•"/>
      <w:lvlJc w:val="left"/>
      <w:pPr>
        <w:ind w:left="5519" w:hanging="272"/>
      </w:pPr>
      <w:rPr>
        <w:rFonts w:hint="default"/>
        <w:lang w:val="en-US" w:eastAsia="zh-CN" w:bidi="ar-SA"/>
      </w:rPr>
    </w:lvl>
    <w:lvl w:ilvl="6" w:tentative="0">
      <w:start w:val="0"/>
      <w:numFmt w:val="bullet"/>
      <w:lvlText w:val="•"/>
      <w:lvlJc w:val="left"/>
      <w:pPr>
        <w:ind w:left="6559" w:hanging="272"/>
      </w:pPr>
      <w:rPr>
        <w:rFonts w:hint="default"/>
        <w:lang w:val="en-US" w:eastAsia="zh-CN" w:bidi="ar-SA"/>
      </w:rPr>
    </w:lvl>
    <w:lvl w:ilvl="7" w:tentative="0">
      <w:start w:val="0"/>
      <w:numFmt w:val="bullet"/>
      <w:lvlText w:val="•"/>
      <w:lvlJc w:val="left"/>
      <w:pPr>
        <w:ind w:left="7599" w:hanging="272"/>
      </w:pPr>
      <w:rPr>
        <w:rFonts w:hint="default"/>
        <w:lang w:val="en-US" w:eastAsia="zh-CN" w:bidi="ar-SA"/>
      </w:rPr>
    </w:lvl>
    <w:lvl w:ilvl="8" w:tentative="0">
      <w:start w:val="0"/>
      <w:numFmt w:val="bullet"/>
      <w:lvlText w:val="•"/>
      <w:lvlJc w:val="left"/>
      <w:pPr>
        <w:ind w:left="8639" w:hanging="272"/>
      </w:pPr>
      <w:rPr>
        <w:rFonts w:hint="default"/>
        <w:lang w:val="en-US" w:eastAsia="zh-CN" w:bidi="ar-SA"/>
      </w:rPr>
    </w:lvl>
  </w:abstractNum>
  <w:abstractNum w:abstractNumId="1">
    <w:nsid w:val="44470AFD"/>
    <w:multiLevelType w:val="multilevel"/>
    <w:tmpl w:val="44470AFD"/>
    <w:lvl w:ilvl="0" w:tentative="0">
      <w:start w:val="1"/>
      <w:numFmt w:val="decimal"/>
      <w:lvlText w:val="%1."/>
      <w:lvlJc w:val="left"/>
      <w:pPr>
        <w:ind w:left="672" w:hanging="361"/>
      </w:pPr>
      <w:rPr>
        <w:rFonts w:hint="default" w:ascii="宋体" w:hAnsi="宋体" w:eastAsia="宋体" w:cs="宋体"/>
        <w:b w:val="0"/>
        <w:bCs w:val="0"/>
        <w:i w:val="0"/>
        <w:iCs w:val="0"/>
        <w:spacing w:val="0"/>
        <w:w w:val="100"/>
        <w:sz w:val="18"/>
        <w:szCs w:val="18"/>
        <w:lang w:val="en-US" w:eastAsia="zh-CN" w:bidi="ar-SA"/>
      </w:rPr>
    </w:lvl>
    <w:lvl w:ilvl="1" w:tentative="0">
      <w:start w:val="1"/>
      <w:numFmt w:val="decimal"/>
      <w:lvlText w:val="（%2）"/>
      <w:lvlJc w:val="left"/>
      <w:pPr>
        <w:ind w:left="1124" w:hanging="453"/>
      </w:pPr>
      <w:rPr>
        <w:rFonts w:hint="default" w:ascii="宋体" w:hAnsi="宋体" w:eastAsia="宋体" w:cs="宋体"/>
        <w:b w:val="0"/>
        <w:bCs w:val="0"/>
        <w:i w:val="0"/>
        <w:iCs w:val="0"/>
        <w:w w:val="100"/>
        <w:sz w:val="16"/>
        <w:szCs w:val="16"/>
        <w:lang w:val="en-US" w:eastAsia="zh-CN" w:bidi="ar-SA"/>
      </w:rPr>
    </w:lvl>
    <w:lvl w:ilvl="2" w:tentative="0">
      <w:start w:val="0"/>
      <w:numFmt w:val="bullet"/>
      <w:lvlText w:val="•"/>
      <w:lvlJc w:val="left"/>
      <w:pPr>
        <w:ind w:left="2186" w:hanging="453"/>
      </w:pPr>
      <w:rPr>
        <w:rFonts w:hint="default"/>
        <w:lang w:val="en-US" w:eastAsia="zh-CN" w:bidi="ar-SA"/>
      </w:rPr>
    </w:lvl>
    <w:lvl w:ilvl="3" w:tentative="0">
      <w:start w:val="0"/>
      <w:numFmt w:val="bullet"/>
      <w:lvlText w:val="•"/>
      <w:lvlJc w:val="left"/>
      <w:pPr>
        <w:ind w:left="3253" w:hanging="453"/>
      </w:pPr>
      <w:rPr>
        <w:rFonts w:hint="default"/>
        <w:lang w:val="en-US" w:eastAsia="zh-CN" w:bidi="ar-SA"/>
      </w:rPr>
    </w:lvl>
    <w:lvl w:ilvl="4" w:tentative="0">
      <w:start w:val="0"/>
      <w:numFmt w:val="bullet"/>
      <w:lvlText w:val="•"/>
      <w:lvlJc w:val="left"/>
      <w:pPr>
        <w:ind w:left="4319" w:hanging="453"/>
      </w:pPr>
      <w:rPr>
        <w:rFonts w:hint="default"/>
        <w:lang w:val="en-US" w:eastAsia="zh-CN" w:bidi="ar-SA"/>
      </w:rPr>
    </w:lvl>
    <w:lvl w:ilvl="5" w:tentative="0">
      <w:start w:val="0"/>
      <w:numFmt w:val="bullet"/>
      <w:lvlText w:val="•"/>
      <w:lvlJc w:val="left"/>
      <w:pPr>
        <w:ind w:left="5386" w:hanging="453"/>
      </w:pPr>
      <w:rPr>
        <w:rFonts w:hint="default"/>
        <w:lang w:val="en-US" w:eastAsia="zh-CN" w:bidi="ar-SA"/>
      </w:rPr>
    </w:lvl>
    <w:lvl w:ilvl="6" w:tentative="0">
      <w:start w:val="0"/>
      <w:numFmt w:val="bullet"/>
      <w:lvlText w:val="•"/>
      <w:lvlJc w:val="left"/>
      <w:pPr>
        <w:ind w:left="6452" w:hanging="453"/>
      </w:pPr>
      <w:rPr>
        <w:rFonts w:hint="default"/>
        <w:lang w:val="en-US" w:eastAsia="zh-CN" w:bidi="ar-SA"/>
      </w:rPr>
    </w:lvl>
    <w:lvl w:ilvl="7" w:tentative="0">
      <w:start w:val="0"/>
      <w:numFmt w:val="bullet"/>
      <w:lvlText w:val="•"/>
      <w:lvlJc w:val="left"/>
      <w:pPr>
        <w:ind w:left="7519" w:hanging="453"/>
      </w:pPr>
      <w:rPr>
        <w:rFonts w:hint="default"/>
        <w:lang w:val="en-US" w:eastAsia="zh-CN" w:bidi="ar-SA"/>
      </w:rPr>
    </w:lvl>
    <w:lvl w:ilvl="8" w:tentative="0">
      <w:start w:val="0"/>
      <w:numFmt w:val="bullet"/>
      <w:lvlText w:val="•"/>
      <w:lvlJc w:val="left"/>
      <w:pPr>
        <w:ind w:left="8586" w:hanging="453"/>
      </w:pPr>
      <w:rPr>
        <w:rFonts w:hint="default"/>
        <w:lang w:val="en-US" w:eastAsia="zh-CN"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NDgzOTdlNjk1ZGMxYzUzMWRlYjgyZjdmOWU2YTAifQ=="/>
  </w:docVars>
  <w:rsids>
    <w:rsidRoot w:val="00395FE3"/>
    <w:rsid w:val="001A293B"/>
    <w:rsid w:val="0025246F"/>
    <w:rsid w:val="00276135"/>
    <w:rsid w:val="003850F1"/>
    <w:rsid w:val="00395FE3"/>
    <w:rsid w:val="004552FB"/>
    <w:rsid w:val="004A7B7A"/>
    <w:rsid w:val="00640736"/>
    <w:rsid w:val="00775B3E"/>
    <w:rsid w:val="00901E4F"/>
    <w:rsid w:val="00A47520"/>
    <w:rsid w:val="00C864E3"/>
    <w:rsid w:val="00D95306"/>
    <w:rsid w:val="09815806"/>
    <w:rsid w:val="0B094C75"/>
    <w:rsid w:val="0B325009"/>
    <w:rsid w:val="106A6FF4"/>
    <w:rsid w:val="14681A9C"/>
    <w:rsid w:val="14AB2623"/>
    <w:rsid w:val="18153CE9"/>
    <w:rsid w:val="36EC7EB3"/>
    <w:rsid w:val="59B97E0B"/>
    <w:rsid w:val="75CF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autoRedefine/>
    <w:unhideWhenUsed/>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line="620" w:lineRule="exact"/>
      <w:ind w:left="2509" w:right="2410"/>
      <w:jc w:val="center"/>
    </w:pPr>
    <w:rPr>
      <w:rFonts w:ascii="Microsoft JhengHei" w:hAnsi="Microsoft JhengHei" w:eastAsia="Microsoft JhengHei" w:cs="Microsoft JhengHei"/>
      <w:b/>
      <w:bCs/>
      <w:sz w:val="36"/>
      <w:szCs w:val="36"/>
    </w:rPr>
  </w:style>
  <w:style w:type="character" w:styleId="9">
    <w:name w:val="Hyperlink"/>
    <w:basedOn w:val="8"/>
    <w:autoRedefine/>
    <w:unhideWhenUsed/>
    <w:qFormat/>
    <w:uiPriority w:val="99"/>
    <w:rPr>
      <w:color w:val="0000FF" w:themeColor="hyperlink"/>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ind w:left="583" w:hanging="272"/>
    </w:pPr>
  </w:style>
  <w:style w:type="paragraph" w:customStyle="1" w:styleId="12">
    <w:name w:val="Table Paragraph"/>
    <w:basedOn w:val="1"/>
    <w:qFormat/>
    <w:uiPriority w:val="1"/>
  </w:style>
  <w:style w:type="character" w:customStyle="1" w:styleId="13">
    <w:name w:val="页眉 Char"/>
    <w:basedOn w:val="8"/>
    <w:link w:val="5"/>
    <w:autoRedefine/>
    <w:qFormat/>
    <w:uiPriority w:val="99"/>
    <w:rPr>
      <w:rFonts w:ascii="宋体" w:hAnsi="宋体" w:eastAsia="宋体" w:cs="宋体"/>
      <w:sz w:val="18"/>
      <w:szCs w:val="18"/>
      <w:lang w:eastAsia="zh-CN"/>
    </w:rPr>
  </w:style>
  <w:style w:type="character" w:customStyle="1" w:styleId="14">
    <w:name w:val="页脚 Char"/>
    <w:basedOn w:val="8"/>
    <w:link w:val="4"/>
    <w:autoRedefine/>
    <w:qFormat/>
    <w:uiPriority w:val="99"/>
    <w:rPr>
      <w:rFonts w:ascii="宋体" w:hAnsi="宋体" w:eastAsia="宋体" w:cs="宋体"/>
      <w:sz w:val="18"/>
      <w:szCs w:val="18"/>
      <w:lang w:eastAsia="zh-CN"/>
    </w:rPr>
  </w:style>
  <w:style w:type="character" w:customStyle="1" w:styleId="15">
    <w:name w:val="批注框文本 Char"/>
    <w:basedOn w:val="8"/>
    <w:link w:val="3"/>
    <w:autoRedefine/>
    <w:semiHidden/>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347</Words>
  <Characters>1982</Characters>
  <Lines>16</Lines>
  <Paragraphs>4</Paragraphs>
  <TotalTime>28</TotalTime>
  <ScaleCrop>false</ScaleCrop>
  <LinksUpToDate>false</LinksUpToDate>
  <CharactersWithSpaces>2325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2021-12-28T09:32:00Z</dcterms:created>
  <dc:creator>YUNART5</dc:creator>
  <cp:lastModifiedBy>郭凯璇</cp:lastModifiedBy>
  <dcterms:modified xsi:type="dcterms:W3CDTF">2024-04-19T02:38:00Z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2018-05-17T00:00:00Z</vt:filetime>
  </property>
  <property fmtid="{D5CDD505-2E9C-101B-9397-08002B2CF9AE}" pid="3" name="Creator">
    <vt:lpwstr>Microsoft® Word 2013</vt:lpwstr>
  </property>
  <property fmtid="{D5CDD505-2E9C-101B-9397-08002B2CF9AE}" pid="4" name="LastSaved">
    <vt:filetime>2021-12-28T00:00:00Z</vt:filetime>
  </property>
  <property fmtid="{D5CDD505-2E9C-101B-9397-08002B2CF9AE}" pid="5" name="KSOProductBuildVer">
    <vt:lpwstr>2052-12.1.0.16729</vt:lpwstr>
  </property>
  <property fmtid="{D5CDD505-2E9C-101B-9397-08002B2CF9AE}" pid="6" name="ICV">
    <vt:lpwstr>608FEFAF08B24EF7A3156802517E7B2D_13</vt:lpwstr>
  </property>
</Properties>
</file>