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400" w:lineRule="exact"/>
        <w:contextualSpacing/>
        <w:jc w:val="center"/>
        <w:rPr>
          <w:rFonts w:ascii="仿宋_GB2312" w:eastAsia="仿宋_GB2312"/>
          <w:sz w:val="28"/>
          <w:szCs w:val="28"/>
        </w:rPr>
      </w:pPr>
      <w:r>
        <w:rPr>
          <w:rFonts w:hint="eastAsia" w:ascii="仿宋_GB2312" w:eastAsia="仿宋_GB2312"/>
          <w:b/>
          <w:sz w:val="28"/>
          <w:szCs w:val="28"/>
        </w:rPr>
        <w:t>攀赢基金网上交易服务协议</w:t>
      </w:r>
    </w:p>
    <w:p>
      <w:pPr>
        <w:pStyle w:val="18"/>
        <w:snapToGrid w:val="0"/>
        <w:spacing w:before="312" w:beforeLines="100" w:after="312" w:afterLines="100" w:line="400" w:lineRule="exact"/>
        <w:contextualSpacing/>
        <w:rPr>
          <w:rFonts w:ascii="仿宋_GB2312" w:hAnsi="宋体" w:eastAsia="仿宋_GB2312"/>
          <w:sz w:val="21"/>
          <w:szCs w:val="21"/>
        </w:rPr>
      </w:pPr>
      <w:r>
        <w:rPr>
          <w:rFonts w:hint="eastAsia" w:ascii="仿宋_GB2312" w:hAnsi="宋体" w:eastAsia="仿宋_GB2312"/>
          <w:sz w:val="21"/>
          <w:szCs w:val="21"/>
        </w:rPr>
        <w:t>甲方：</w:t>
      </w:r>
    </w:p>
    <w:p>
      <w:pPr>
        <w:pStyle w:val="18"/>
        <w:snapToGrid w:val="0"/>
        <w:spacing w:before="312" w:beforeLines="100" w:after="312" w:afterLines="100" w:line="400" w:lineRule="exact"/>
        <w:contextualSpacing/>
        <w:rPr>
          <w:rFonts w:ascii="仿宋_GB2312" w:hAnsi="宋体" w:eastAsia="仿宋_GB2312"/>
          <w:sz w:val="21"/>
          <w:szCs w:val="21"/>
        </w:rPr>
      </w:pPr>
      <w:r>
        <w:rPr>
          <w:rFonts w:hint="eastAsia" w:ascii="仿宋_GB2312" w:hAnsi="宋体" w:eastAsia="仿宋_GB2312"/>
          <w:sz w:val="21"/>
          <w:szCs w:val="21"/>
        </w:rPr>
        <w:t>乙方：上海攀赢基金销售有限公司（以下简称乙方或“攀赢基金”）</w:t>
      </w:r>
    </w:p>
    <w:p>
      <w:pPr>
        <w:pStyle w:val="18"/>
        <w:snapToGrid w:val="0"/>
        <w:spacing w:before="312" w:beforeLines="100" w:after="312" w:afterLines="100" w:line="400" w:lineRule="exact"/>
        <w:ind w:firstLine="420" w:firstLineChars="200"/>
        <w:contextualSpacing/>
        <w:rPr>
          <w:rFonts w:ascii="仿宋_GB2312" w:hAnsi="宋体" w:eastAsia="仿宋_GB2312"/>
          <w:sz w:val="21"/>
          <w:szCs w:val="21"/>
        </w:rPr>
      </w:pPr>
      <w:r>
        <w:rPr>
          <w:rFonts w:hint="eastAsia" w:ascii="仿宋_GB2312" w:hAnsi="宋体" w:eastAsia="仿宋_GB2312"/>
          <w:sz w:val="21"/>
          <w:szCs w:val="21"/>
        </w:rPr>
        <w:t>甲、乙双方依照有关法律、法规的规定，本着公开、公平和自愿、有偿、诚实信用的原则，就乙方通过互联网金融网上交易服务平台，为甲方提供交易委托服务及其他相关业务达成如下协议。</w:t>
      </w:r>
    </w:p>
    <w:p>
      <w:pPr>
        <w:pStyle w:val="2"/>
        <w:adjustRightInd w:val="0"/>
        <w:snapToGrid w:val="0"/>
        <w:spacing w:before="0" w:after="0" w:line="400" w:lineRule="exact"/>
        <w:contextualSpacing/>
        <w:rPr>
          <w:rFonts w:ascii="仿宋_GB2312" w:eastAsia="仿宋_GB2312"/>
          <w:sz w:val="21"/>
          <w:szCs w:val="21"/>
        </w:rPr>
      </w:pPr>
      <w:bookmarkStart w:id="0" w:name="_Toc109989062"/>
      <w:r>
        <w:rPr>
          <w:rFonts w:hint="eastAsia" w:ascii="仿宋_GB2312" w:hAnsi="宋体" w:eastAsia="仿宋_GB2312" w:cs="Arial"/>
          <w:kern w:val="0"/>
          <w:sz w:val="21"/>
          <w:szCs w:val="21"/>
          <w:u w:val="single"/>
        </w:rPr>
        <w:t>重要提示：</w:t>
      </w:r>
      <w:bookmarkEnd w:id="0"/>
    </w:p>
    <w:p>
      <w:pPr>
        <w:pStyle w:val="18"/>
        <w:snapToGrid w:val="0"/>
        <w:spacing w:line="400" w:lineRule="exact"/>
        <w:ind w:firstLine="420"/>
        <w:contextualSpacing/>
        <w:rPr>
          <w:rFonts w:ascii="仿宋_GB2312" w:hAnsi="宋体" w:eastAsia="仿宋_GB2312"/>
          <w:b/>
          <w:sz w:val="21"/>
          <w:szCs w:val="21"/>
        </w:rPr>
      </w:pPr>
      <w:r>
        <w:rPr>
          <w:rFonts w:hint="eastAsia" w:ascii="仿宋_GB2312" w:hAnsi="宋体" w:eastAsia="仿宋_GB2312"/>
          <w:b/>
          <w:sz w:val="21"/>
          <w:szCs w:val="21"/>
        </w:rPr>
        <w:t>特此提醒您认真阅读和充分理解本协议各部分内容，特别是涉及到双方权利义务条款、风险提示、乙方免责条款、争议解决、法律适用等内容及加粗部分条款。</w:t>
      </w:r>
    </w:p>
    <w:p>
      <w:pPr>
        <w:adjustRightInd w:val="0"/>
        <w:snapToGrid w:val="0"/>
        <w:spacing w:line="400" w:lineRule="exact"/>
        <w:ind w:firstLine="422" w:firstLineChars="200"/>
        <w:contextualSpacing/>
        <w:rPr>
          <w:rFonts w:ascii="仿宋_GB2312" w:hAnsi="宋体" w:eastAsia="仿宋_GB2312"/>
          <w:b/>
          <w:color w:val="333333"/>
          <w:szCs w:val="21"/>
        </w:rPr>
      </w:pPr>
      <w:r>
        <w:rPr>
          <w:rFonts w:hint="eastAsia" w:ascii="仿宋_GB2312" w:hAnsi="宋体" w:eastAsia="仿宋_GB2312"/>
          <w:b/>
          <w:color w:val="333333"/>
          <w:szCs w:val="21"/>
        </w:rPr>
        <w:t>请您审慎阅读并选择接受或不接受本协议，您通过线上互联网勾选、确认本协议或线下签署本协议，即表明您已经仔细阅读本协议各项内容，并视为对本协议全部条款已充分理解并完全接受。</w:t>
      </w:r>
    </w:p>
    <w:p>
      <w:pPr>
        <w:pStyle w:val="2"/>
        <w:adjustRightInd w:val="0"/>
        <w:snapToGrid w:val="0"/>
        <w:spacing w:before="0" w:after="0" w:line="400" w:lineRule="exact"/>
        <w:ind w:firstLine="422" w:firstLineChars="200"/>
        <w:contextualSpacing/>
        <w:rPr>
          <w:rFonts w:ascii="仿宋_GB2312" w:eastAsia="仿宋_GB2312"/>
          <w:sz w:val="21"/>
          <w:szCs w:val="21"/>
        </w:rPr>
      </w:pPr>
      <w:bookmarkStart w:id="1" w:name="_Toc109989063"/>
      <w:r>
        <w:rPr>
          <w:rFonts w:hint="eastAsia" w:ascii="仿宋_GB2312" w:eastAsia="仿宋_GB2312"/>
          <w:sz w:val="21"/>
          <w:szCs w:val="21"/>
        </w:rPr>
        <w:t>第一条 释义</w:t>
      </w:r>
      <w:bookmarkEnd w:id="1"/>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除非本协议文意另有所指，下列词语具有如下含义：</w:t>
      </w:r>
    </w:p>
    <w:p>
      <w:pPr>
        <w:adjustRightInd w:val="0"/>
        <w:snapToGrid w:val="0"/>
        <w:spacing w:line="400" w:lineRule="exact"/>
        <w:ind w:firstLine="420"/>
        <w:contextualSpacing/>
        <w:rPr>
          <w:rFonts w:ascii="仿宋_GB2312" w:hAnsi="宋体" w:eastAsia="仿宋_GB2312"/>
          <w:szCs w:val="21"/>
        </w:rPr>
      </w:pPr>
      <w:r>
        <w:rPr>
          <w:rFonts w:hint="eastAsia" w:ascii="仿宋_GB2312" w:hAnsi="宋体" w:eastAsia="仿宋_GB2312"/>
          <w:szCs w:val="21"/>
        </w:rPr>
        <w:t>（一）基金：是指基金公司、证券公司、期货公司等发行设立的公募基金产品、私募基金产品及资产管理计划。</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二）交易：是指甲方通过乙方的交易系统进行基金账户和交易账户的开户、销户、资料修改，提交基金认购、申购、赎回、撤单申请，基金转换，基金分红方式变更，交易密码修改等交易申请以及当日和历史的交易记录查询和其它相关业务的交易方式。</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（三）基金管理人：指依法发行和管理基金的机构，包括基金公司、证券公司、期货公司及在中国证券投资基金业协会登记的私募基金管理人等机构。</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（四）基金账户：指基金注册登记人为投资者开立的记录其持有乙方所销售基金的基金份额、份额变动情况及基本资料的账户。本条所列的基金注册登记人是指乙方认可的基金注册登记机构。</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（五）基金交易账户：指乙方为投资者开立的记录其通过该交易系统买卖乙方所销售基金份额的变动及结余情况的账户。</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（六）认购：指基金募集期内，投资者申请购买基金份额的行为。</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（七）申购：指基金合同生效后，投资者申请购买基金份额的行为。</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（八）赎回：指基金存续期间内已持有基金份额的投资者要求基金管理人购回基金份额的行为。</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（九）基金转换：指投资者将所持有的基金份额转换成同一注册登记人登记的同一基金管理公司的其他基金份额。</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（十）基金份额资产净值：指计算日基金资产净值除以计算日基金份额总数后的价值。</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（十一）T 日：指乙方确认的甲方提交有效申请的工作日。</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（十二）T＋n 日：指自 T 日起第n个工作日（不包含 T 日）。</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（十三）工作日：指上海证券交易所、深圳证券交易所的正常交易日。</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（十四）开放日：指为投资者办理基金申购、赎回等业务的工作日。</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（十五）交易密码：指攀赢基金交易账户的交易密码。</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（十六）支付机构：指与乙方签署支付合作协议，为甲方在乙方平台上的基金交易提供基金交易资金结算服务的商业银行及其他第三方支付机构。</w:t>
      </w:r>
    </w:p>
    <w:p>
      <w:pPr>
        <w:pStyle w:val="2"/>
        <w:adjustRightInd w:val="0"/>
        <w:snapToGrid w:val="0"/>
        <w:spacing w:before="0" w:after="0" w:line="400" w:lineRule="exact"/>
        <w:ind w:firstLine="422" w:firstLineChars="200"/>
        <w:contextualSpacing/>
        <w:rPr>
          <w:rFonts w:ascii="仿宋_GB2312" w:hAnsi="宋体" w:eastAsia="仿宋_GB2312"/>
          <w:sz w:val="21"/>
          <w:szCs w:val="21"/>
        </w:rPr>
      </w:pPr>
      <w:bookmarkStart w:id="2" w:name="_Toc109989064"/>
      <w:r>
        <w:rPr>
          <w:rFonts w:hint="eastAsia" w:ascii="仿宋_GB2312" w:hAnsi="宋体" w:eastAsia="仿宋_GB2312"/>
          <w:sz w:val="21"/>
          <w:szCs w:val="21"/>
        </w:rPr>
        <w:t>第二条 服务与费用</w:t>
      </w:r>
      <w:bookmarkEnd w:id="2"/>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（一）交易服务与交易费用</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1. 本协议所述交易服务内容，是指乙方依托乙方旗下互联网金融服务平台，为投资者提供互联网金融服务，主要是通过互联网网上自助式交易服务系统，为投资者提供相关交易、清算、查询等技术服务，包括：基金账户和交易账户的开户、资料修改，提交基金认购、申购、赎回、撤单申请，基金转换，基金分红方式变更，交易密码修改等交易申请以及当日和历史的交易记录查询和其它相关技术服务。</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2. 本协议所称交易费用，仅指乙方仅有权根据基金合同约定，向甲方收取基金产品明确约定的由投资者承担的相应交易费用，包括：</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（1）认购费：乙方根据甲方在认购期内，通过乙方平台购买的基金规模，按照甲方签订的基金合同规定及攀赢基金网站公示的认购费率收取认购费。</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（2）申购费：乙方根据甲方在申购期内，通过乙方平台购买的基金规模，按照甲方签订的基金合同规定及攀赢基金网站公示的申购费率收取申购费。</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（3）赎回费：乙方根据甲方办理赎回的基金规模，按照甲方签订的基金合同规定收取赎回服务费。</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4）基金转换费：甲方有权通过乙方平台申请转换基金份额，转换费由转出基金的赎回费和两只基金的申购补差费组成。计算公式：基金转换费=转出基金的赎回费+申购补差费（注：申购补差费为较低申购费率的基金转换至较高申购费率的基金所支付的申购费用差价,具体计算方法及费率以甲方签署的基金合同为准）。</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收费标准采取基金</w:t>
      </w:r>
      <w:r>
        <w:rPr>
          <w:rFonts w:hint="eastAsia" w:ascii="仿宋_GB2312" w:hAnsi="宋体" w:eastAsia="仿宋_GB2312"/>
          <w:sz w:val="21"/>
          <w:szCs w:val="21"/>
          <w:lang w:val="en-US" w:eastAsia="zh-CN"/>
        </w:rPr>
        <w:t>合同</w:t>
      </w:r>
      <w:r>
        <w:rPr>
          <w:rFonts w:hint="eastAsia" w:ascii="仿宋_GB2312" w:hAnsi="宋体" w:eastAsia="仿宋_GB2312"/>
          <w:sz w:val="21"/>
          <w:szCs w:val="21"/>
        </w:rPr>
        <w:t>规定与攀赢基金网站公示</w:t>
      </w:r>
      <w:r>
        <w:rPr>
          <w:rFonts w:hint="eastAsia" w:ascii="仿宋_GB2312" w:hAnsi="宋体" w:eastAsia="仿宋_GB2312"/>
          <w:sz w:val="21"/>
          <w:szCs w:val="21"/>
          <w:lang w:val="en-US" w:eastAsia="zh-CN"/>
        </w:rPr>
        <w:t>孰</w:t>
      </w:r>
      <w:r>
        <w:rPr>
          <w:rFonts w:hint="eastAsia" w:ascii="仿宋_GB2312" w:hAnsi="宋体" w:eastAsia="仿宋_GB2312"/>
          <w:sz w:val="21"/>
          <w:szCs w:val="21"/>
        </w:rPr>
        <w:t>低原则收取。</w:t>
      </w:r>
      <w:bookmarkStart w:id="12" w:name="_GoBack"/>
      <w:bookmarkEnd w:id="12"/>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（二）免费的投顾服务</w:t>
      </w:r>
    </w:p>
    <w:p>
      <w:pPr>
        <w:adjustRightInd w:val="0"/>
        <w:snapToGrid w:val="0"/>
        <w:spacing w:line="400" w:lineRule="exact"/>
        <w:ind w:firstLine="420"/>
        <w:contextualSpacing/>
        <w:rPr>
          <w:rFonts w:ascii="仿宋_GB2312" w:hAnsi="宋体" w:eastAsia="仿宋_GB2312"/>
          <w:szCs w:val="21"/>
        </w:rPr>
      </w:pPr>
      <w:r>
        <w:rPr>
          <w:rFonts w:hint="eastAsia" w:ascii="仿宋_GB2312" w:hAnsi="宋体" w:eastAsia="仿宋_GB2312" w:cs="宋体"/>
          <w:color w:val="000000"/>
          <w:kern w:val="0"/>
          <w:szCs w:val="21"/>
        </w:rPr>
        <w:t>本协议签署后，双方即建立严密的双向合作关系，乙方除向甲方提供前述交易服务外，还将</w:t>
      </w:r>
      <w:r>
        <w:rPr>
          <w:rFonts w:hint="eastAsia" w:ascii="仿宋_GB2312" w:hAnsi="宋体" w:eastAsia="仿宋_GB2312"/>
          <w:szCs w:val="21"/>
        </w:rPr>
        <w:t>免费</w:t>
      </w:r>
      <w:r>
        <w:rPr>
          <w:rFonts w:hint="eastAsia" w:ascii="仿宋_GB2312" w:hAnsi="宋体" w:eastAsia="仿宋_GB2312" w:cs="宋体"/>
          <w:color w:val="000000"/>
          <w:kern w:val="0"/>
          <w:szCs w:val="21"/>
        </w:rPr>
        <w:t>向甲方提供</w:t>
      </w:r>
      <w:r>
        <w:rPr>
          <w:rFonts w:hint="eastAsia" w:ascii="仿宋_GB2312" w:hAnsi="宋体" w:eastAsia="仿宋_GB2312"/>
          <w:szCs w:val="21"/>
        </w:rPr>
        <w:t>投顾服务（包括但不限于市场研判报告、基金配置建议、基金筛选策略、单只基金分析报告等）</w:t>
      </w:r>
      <w:r>
        <w:rPr>
          <w:rFonts w:hint="eastAsia" w:ascii="仿宋_GB2312" w:hAnsi="宋体" w:eastAsia="仿宋_GB2312" w:cs="宋体"/>
          <w:color w:val="000000"/>
          <w:kern w:val="0"/>
          <w:szCs w:val="21"/>
        </w:rPr>
        <w:t>。</w:t>
      </w:r>
      <w:r>
        <w:rPr>
          <w:rFonts w:hint="eastAsia" w:ascii="仿宋_GB2312" w:hAnsi="宋体" w:eastAsia="仿宋_GB2312"/>
          <w:szCs w:val="21"/>
        </w:rPr>
        <w:t>甲方是否采用相关基础销售服务和投顾服务，由甲方自主决定。</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（三）其他服务及费用</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乙方除因提供交易服务依约定向甲方收费外，不得向甲方收取任何其他费用。本合同项下乙方向甲方提供的所有其他服务均为免费服务。</w:t>
      </w:r>
    </w:p>
    <w:p>
      <w:pPr>
        <w:pStyle w:val="2"/>
        <w:adjustRightInd w:val="0"/>
        <w:snapToGrid w:val="0"/>
        <w:spacing w:before="0" w:after="0" w:line="400" w:lineRule="exact"/>
        <w:ind w:firstLine="422" w:firstLineChars="200"/>
        <w:contextualSpacing/>
        <w:rPr>
          <w:rFonts w:ascii="仿宋_GB2312" w:hAnsi="宋体" w:eastAsia="仿宋_GB2312"/>
          <w:sz w:val="21"/>
          <w:szCs w:val="21"/>
        </w:rPr>
      </w:pPr>
      <w:bookmarkStart w:id="3" w:name="_Toc109989065"/>
      <w:r>
        <w:rPr>
          <w:rFonts w:hint="eastAsia" w:ascii="仿宋_GB2312" w:hAnsi="宋体" w:eastAsia="仿宋_GB2312"/>
          <w:sz w:val="21"/>
          <w:szCs w:val="21"/>
        </w:rPr>
        <w:t>第三条 甲方承诺</w:t>
      </w:r>
      <w:bookmarkEnd w:id="3"/>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一）甲方为根据中华人民共和国法律依法成立的法人或其他组织，具有完全民事权利能力和与其从事的民事行为相适应的行为能力，能够独立承担民事责任。甲方需符合《关于规范金融机构资产管理业务的指导意见》等相关规定中的投资者要求，并仅按照根据国家法律法规及监管政策的规定提供相应资料、凭证等证明文件。</w:t>
      </w:r>
    </w:p>
    <w:p>
      <w:pPr>
        <w:pStyle w:val="18"/>
        <w:snapToGrid w:val="0"/>
        <w:spacing w:line="400" w:lineRule="exact"/>
        <w:ind w:firstLine="420"/>
        <w:contextualSpacing/>
        <w:rPr>
          <w:rFonts w:ascii="仿宋_GB2312" w:eastAsia="仿宋_GB2312"/>
          <w:sz w:val="21"/>
          <w:szCs w:val="21"/>
        </w:rPr>
      </w:pPr>
      <w:r>
        <w:rPr>
          <w:rFonts w:hint="eastAsia" w:ascii="仿宋_GB2312" w:hAnsi="宋体" w:eastAsia="仿宋_GB2312"/>
          <w:sz w:val="21"/>
          <w:szCs w:val="21"/>
        </w:rPr>
        <w:t>（二）甲方在申请注册攀赢基金交易账户时，向攀赢基金提供的相关信息资料是真实、最新、有效及完整的。甲方自行承担维护及更新本机构资料的义务，若上述资料变更或者注销，甲方应及时、主动告知乙方并进行变更。</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三）甲方将妥善保管甲方资料信息及注册信息（包括甲方及甲方发行管理的资产管理产品信息、联系方式、交易账户、交易密码等），不擅自将其转交他人保管或使用，若上述信息变更或者丢失，甲方将主动告知乙方并进行变更，乙方应及时配合甲方以保障甲方的信息安全与账户安全。</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四）甲方签署、履行本协议及对外投资所需的所有必要的内部的批准、审批机关的批准（如须）均已获得且未被撤销。同时，甲方承诺，甲方签署、履行本协议及对外投资行为不会与甲方承担的其他合同义务相冲突，也不会违反有关法律法规、规章制度和公司内部管理制度的规定（适用于机构投资者）。</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cstheme="minorBidi"/>
          <w:color w:val="auto"/>
          <w:kern w:val="2"/>
          <w:sz w:val="21"/>
          <w:szCs w:val="21"/>
        </w:rPr>
        <w:t>（</w:t>
      </w:r>
      <w:r>
        <w:rPr>
          <w:rFonts w:hint="eastAsia" w:ascii="仿宋_GB2312" w:hAnsi="宋体" w:eastAsia="仿宋_GB2312"/>
          <w:sz w:val="21"/>
          <w:szCs w:val="21"/>
        </w:rPr>
        <w:t>五</w:t>
      </w:r>
      <w:r>
        <w:rPr>
          <w:rFonts w:hint="eastAsia" w:ascii="仿宋_GB2312" w:hAnsi="宋体" w:eastAsia="仿宋_GB2312" w:cstheme="minorBidi"/>
          <w:color w:val="auto"/>
          <w:kern w:val="2"/>
          <w:sz w:val="21"/>
          <w:szCs w:val="21"/>
        </w:rPr>
        <w:t>）甲方在乙方注册的登录账户及登录密码为乙方识别甲方身份的有效途径，甲方应当采取有效措施对在乙方注册的各个交易账户及交易密码等账户信息进行账户安全管理。甲方在发现或有理由认为存在未被授权的人正在或可能使用其账号、密码时，应立即与乙方联系，乙方承诺采取相应的保护、防范措施。</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（六）甲方承诺合法合规使用攀赢基金的交易账户，遵守账户实名制规则，不得将自己账户借予他人使用、利用交易账户为他人代理交易等。</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七）甲方正式发起交易申请之前需详细阅读并理解乙方销售的基金的《基金合同》、《招募说明书》及乙方交易平台基金业务规则、业务公告、业务提示及本协议书的所有内容，若甲方未充分理解或者不愿意接受上述内容，请勿使用相关功能或者提交交易申请，若甲方使用相关功能或者提交交易申请即表示甲方已经充分理解并自愿接受上述内容。甲方在使用相关功能或者提交交易申请前，应当充分了解相关服务或者产品的性质、风险与收益特征，若甲方有任何疑问可以拨打乙方全国客服热线咨询或咨询相关负责对接工作人员。</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（八）甲方自愿通过乙方的交易系统办理基金业务，承诺上述业务视同甲方亲临乙方柜台办理。</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（九）甲方将确保其用于交易的设备的安全性和可靠性。</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（十）为保护甲方交易数据的安全，在进行网络交易时，甲方应使用安全软硬件设备。如果使用不符合要求的其他软件或设备进入乙方网站，乙方应及时提示甲方并引导甲方使用安全软硬件设备进入乙方网站。</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（十一）若甲方满足《证券期货投资者适当性管理办法》规定的</w:t>
      </w:r>
      <w:r>
        <w:rPr>
          <w:rFonts w:hint="eastAsia" w:ascii="仿宋_GB2312" w:hAnsi="宋体" w:eastAsia="仿宋_GB2312"/>
          <w:b/>
          <w:sz w:val="21"/>
          <w:szCs w:val="21"/>
        </w:rPr>
        <w:t>专业机构投资者</w:t>
      </w:r>
      <w:r>
        <w:rPr>
          <w:rFonts w:hint="eastAsia" w:ascii="仿宋_GB2312" w:hAnsi="宋体" w:eastAsia="仿宋_GB2312"/>
          <w:sz w:val="21"/>
          <w:szCs w:val="21"/>
        </w:rPr>
        <w:t>标准，甲方承诺自身具备丰富的投资经验、风险识别能力和风险承受能力，乙方无需按照普通投资者标准执行适当性管理。</w:t>
      </w:r>
    </w:p>
    <w:p>
      <w:pPr>
        <w:pStyle w:val="18"/>
        <w:snapToGrid w:val="0"/>
        <w:spacing w:line="400" w:lineRule="exact"/>
        <w:ind w:firstLine="420"/>
        <w:contextualSpacing/>
        <w:rPr>
          <w:rFonts w:ascii="仿宋_GB2312" w:hAnsi="宋体" w:eastAsia="仿宋_GB2312"/>
          <w:b/>
          <w:sz w:val="21"/>
          <w:szCs w:val="21"/>
        </w:rPr>
      </w:pPr>
      <w:r>
        <w:rPr>
          <w:rFonts w:hint="eastAsia" w:ascii="仿宋_GB2312" w:hAnsi="宋体" w:eastAsia="仿宋_GB2312"/>
          <w:b/>
          <w:sz w:val="21"/>
          <w:szCs w:val="21"/>
        </w:rPr>
        <w:t>（十二）若甲方为非专业投资者，甲方须如实填写《基金投资者风险测评问卷（机构版）》后进行基金交易，若甲方不属于风险承受能力最低类别的投资者，并主动要求购买风险等级高于其风险承受能力的产品或者接受相关服务的，乙方依据基金销售适用性原则提示风险不匹配，并以醒目的方式提示甲方后，甲方仍确认继续进行基金交易的，由此造成的后果由甲方自行承担，乙方无需承担任何责任。</w:t>
      </w:r>
    </w:p>
    <w:p>
      <w:pPr>
        <w:adjustRightInd w:val="0"/>
        <w:snapToGrid w:val="0"/>
        <w:spacing w:line="400" w:lineRule="exact"/>
        <w:ind w:firstLine="420"/>
        <w:contextualSpacing/>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（十三）甲方向乙方申请变更银行赎回账户、注销基金交易账户等服务时，甲方需按照国家法律法规的规定，向乙方提供必要证明材料，以核实甲方真实身份和甲方拥有银行卡的情况。</w:t>
      </w:r>
      <w:bookmarkStart w:id="4" w:name="_Toc109989066"/>
    </w:p>
    <w:p>
      <w:pPr>
        <w:adjustRightInd w:val="0"/>
        <w:snapToGrid w:val="0"/>
        <w:spacing w:line="400" w:lineRule="exact"/>
        <w:ind w:firstLine="420"/>
        <w:contextualSpacing/>
        <w:rPr>
          <w:rFonts w:ascii="仿宋_GB2312" w:hAnsi="宋体" w:eastAsia="仿宋_GB2312"/>
          <w:b/>
          <w:bCs/>
          <w:szCs w:val="21"/>
        </w:rPr>
      </w:pPr>
      <w:r>
        <w:rPr>
          <w:rFonts w:hint="eastAsia" w:ascii="仿宋_GB2312" w:hAnsi="宋体" w:eastAsia="仿宋_GB2312"/>
          <w:b/>
          <w:bCs/>
          <w:szCs w:val="21"/>
        </w:rPr>
        <w:t>第四条 乙方承诺</w:t>
      </w:r>
      <w:bookmarkEnd w:id="4"/>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（一）乙方遵守有关法律法规、规章制度，并愿意接受本协议的相关条款约束。</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（二）乙方承诺已完全具备开展本合同项下相关业务的业务资格和能力，当乙方业务资格和能力出现瑕疵时，甲方有权提前终止本合同。</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（三）乙方承诺提供的交易系统的系统安全、数据备份和故障恢复手段符合监管机关的规定。乙方承诺将采取先进的网络产品和合理有效的技术措施，保护投资者资料和交易活动的安全。</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四）对甲方的交易，乙方对相关数据进行保留并作为甲方交易行为的证明。乙方对甲方的基本信息、委托资料、委托事项和密码负有保密义务，乙方未经甲方许可，不得透露或非法使用甲方在乙方登记的任何资料。</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（五）在甲方基金交易账户存续期间，乙方承诺为甲方提供持续服务。</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（六）乙方依据基金销售适用性原则，对甲方的交易申请进行销售适用性判断，如出现风险不匹配的情况，乙方将以醒目的方式提示甲方，告之其交易风险。</w:t>
      </w:r>
    </w:p>
    <w:p>
      <w:pPr>
        <w:adjustRightInd w:val="0"/>
        <w:snapToGrid w:val="0"/>
        <w:spacing w:line="400" w:lineRule="exact"/>
        <w:ind w:firstLine="420" w:firstLineChars="200"/>
        <w:contextualSpacing/>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（七）乙方不得以任何方式从事对甲方造成损害的行为，否则乙方应承担由此给甲方和/或任何第三方造成的直接和间接损失。</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（八）乙方应根据甲方使用自有资金或者代表甲方发行管理的资产管理产品的开户申请，为其开立相应的基金交易账户，并按照乙方基金交易账户的管理要求提供尽职管理。</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（九）乙方在本协议生效当日，为甲方开通协议约定的交易委托方式。</w:t>
      </w:r>
    </w:p>
    <w:p>
      <w:pPr>
        <w:pStyle w:val="2"/>
        <w:adjustRightInd w:val="0"/>
        <w:snapToGrid w:val="0"/>
        <w:spacing w:before="0" w:after="0" w:line="400" w:lineRule="exact"/>
        <w:ind w:firstLine="422" w:firstLineChars="200"/>
        <w:contextualSpacing/>
        <w:rPr>
          <w:rFonts w:ascii="仿宋_GB2312" w:hAnsi="宋体" w:eastAsia="仿宋_GB2312"/>
          <w:sz w:val="21"/>
          <w:szCs w:val="21"/>
        </w:rPr>
      </w:pPr>
      <w:bookmarkStart w:id="5" w:name="_Toc109989067"/>
      <w:r>
        <w:rPr>
          <w:rFonts w:hint="eastAsia" w:ascii="仿宋_GB2312" w:hAnsi="宋体" w:eastAsia="仿宋_GB2312"/>
          <w:sz w:val="21"/>
          <w:szCs w:val="21"/>
        </w:rPr>
        <w:t>第五条 交易风险提示</w:t>
      </w:r>
      <w:bookmarkEnd w:id="5"/>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乙方已最大限度地采取各种有效措施，保护客户资料和交易活动的安全。尽管如此，本着对客户负责的态度，乙方在此郑重提醒甲方，交易仍然存在的风险包括但不限于：</w:t>
      </w:r>
    </w:p>
    <w:p>
      <w:pPr>
        <w:adjustRightInd w:val="0"/>
        <w:snapToGrid w:val="0"/>
        <w:spacing w:line="400" w:lineRule="exact"/>
        <w:ind w:firstLine="420"/>
        <w:contextualSpacing/>
        <w:rPr>
          <w:rFonts w:ascii="仿宋_GB2312" w:hAnsi="宋体" w:eastAsia="仿宋_GB2312"/>
          <w:b/>
          <w:szCs w:val="21"/>
        </w:rPr>
      </w:pPr>
      <w:r>
        <w:rPr>
          <w:rFonts w:hint="eastAsia" w:ascii="仿宋_GB2312" w:hAnsi="宋体" w:eastAsia="仿宋_GB2312"/>
          <w:b/>
          <w:szCs w:val="21"/>
        </w:rPr>
        <w:t>（一）网上交易风险</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（1）互联网是全球公共网络，并不受任何一个机构所控制。数据在互联网上传输的途径不是完全确定的。互联网本身并不是绝对安全可靠的环境。</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（2）在互联网上传输的数据有可能被某些个人、团体或机构通过某种渠道获得。</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（3）互联网上的数据传输可能因通信繁忙出现延迟，或因其他原因出现中断、停顿或数据不完全、数据错误等情况，从而使交易出现延迟、停顿或中断。</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（4）互联网上发布的各种信息，包含但不限于分析、预测性资料，通过乙方互联网金融网上交易服务平台上传的网上信息，可能出现错误或误导投资人。</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（5）甲方的网上交易身份可能会被仿冒或者泄露。</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（6）甲方自身计算机性能、质量、病毒、故障及其他原因，可能对网上交易时间或交易数据造成影响，因此给甲方造成损失。</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（7）甲方自身的疏忽造成网上账号或密码泄露，可能会给甲方造成损失。</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（8）网上交易其他潜在的风险。</w:t>
      </w:r>
    </w:p>
    <w:p>
      <w:pPr>
        <w:pStyle w:val="18"/>
        <w:snapToGrid w:val="0"/>
        <w:spacing w:line="400" w:lineRule="exact"/>
        <w:ind w:firstLine="420"/>
        <w:contextualSpacing/>
        <w:rPr>
          <w:rFonts w:ascii="仿宋_GB2312" w:hAnsi="宋体" w:eastAsia="仿宋_GB2312"/>
          <w:b/>
          <w:sz w:val="21"/>
          <w:szCs w:val="21"/>
        </w:rPr>
      </w:pPr>
      <w:r>
        <w:rPr>
          <w:rFonts w:hint="eastAsia" w:ascii="仿宋_GB2312" w:hAnsi="宋体" w:eastAsia="仿宋_GB2312"/>
          <w:b/>
          <w:sz w:val="21"/>
          <w:szCs w:val="21"/>
        </w:rPr>
        <w:t>（二）网下交易风险</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（1）甲方的网下交易身份可能会被仿冒。</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（2）甲方自身计算机性能、质量、病毒、故障及其他原因，可能对网下交易时间或交易数据造成影响，因此给甲方造成损失。</w:t>
      </w:r>
    </w:p>
    <w:p>
      <w:pPr>
        <w:adjustRightInd w:val="0"/>
        <w:snapToGrid w:val="0"/>
        <w:spacing w:line="400" w:lineRule="exact"/>
        <w:ind w:firstLine="420"/>
        <w:contextualSpacing/>
        <w:rPr>
          <w:rFonts w:ascii="仿宋_GB2312" w:hAnsi="宋体" w:eastAsia="仿宋_GB2312"/>
          <w:szCs w:val="21"/>
        </w:rPr>
      </w:pPr>
      <w:r>
        <w:rPr>
          <w:rFonts w:hint="eastAsia" w:ascii="仿宋_GB2312" w:hAnsi="宋体" w:eastAsia="仿宋_GB2312"/>
          <w:szCs w:val="21"/>
        </w:rPr>
        <w:t>（3）甲方自身的疏忽造成网下账号或密码泄露，可能会给甲方造成损失。</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（4）由于甲方业务经办人员离职、密码未及时修改，可能会给甲方造成损失（适用于机构投资者）。</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（三）尽管有上述风险，乙方也将尽力维护甲方利益，在乙方力所能及的范围内降低甲方的交易风险。</w:t>
      </w:r>
    </w:p>
    <w:p>
      <w:pPr>
        <w:pStyle w:val="2"/>
        <w:adjustRightInd w:val="0"/>
        <w:snapToGrid w:val="0"/>
        <w:spacing w:before="0" w:after="0" w:line="400" w:lineRule="exact"/>
        <w:ind w:firstLine="569" w:firstLineChars="270"/>
        <w:contextualSpacing/>
        <w:jc w:val="left"/>
        <w:rPr>
          <w:rFonts w:ascii="仿宋_GB2312" w:hAnsi="宋体" w:eastAsia="仿宋_GB2312"/>
          <w:sz w:val="21"/>
          <w:szCs w:val="21"/>
        </w:rPr>
      </w:pPr>
      <w:bookmarkStart w:id="6" w:name="_Toc109989068"/>
      <w:r>
        <w:rPr>
          <w:rFonts w:hint="eastAsia" w:ascii="仿宋_GB2312" w:eastAsia="仿宋_GB2312"/>
          <w:sz w:val="21"/>
          <w:szCs w:val="21"/>
        </w:rPr>
        <w:t>第六条 提示条款</w:t>
      </w:r>
      <w:bookmarkEnd w:id="6"/>
    </w:p>
    <w:p>
      <w:pPr>
        <w:pStyle w:val="18"/>
        <w:snapToGrid w:val="0"/>
        <w:spacing w:line="400" w:lineRule="exact"/>
        <w:ind w:firstLine="420"/>
        <w:contextualSpacing/>
        <w:rPr>
          <w:rFonts w:ascii="仿宋_GB2312" w:hAnsi="宋体" w:eastAsia="仿宋_GB2312"/>
          <w:b/>
          <w:sz w:val="21"/>
          <w:szCs w:val="21"/>
        </w:rPr>
      </w:pPr>
      <w:r>
        <w:rPr>
          <w:rFonts w:hint="eastAsia" w:ascii="仿宋_GB2312" w:hAnsi="宋体" w:eastAsia="仿宋_GB2312"/>
          <w:b/>
          <w:sz w:val="21"/>
          <w:szCs w:val="21"/>
        </w:rPr>
        <w:t>（一）乙方代理销售的基金均经证监会核准/注册发行，但并不表示基金没有风险，甲方应仔细阅读《基金合同》、《招募说明书》、《产品资料概要》，完全自愿投资基金，享有其收益，并承担其风险。</w:t>
      </w:r>
    </w:p>
    <w:p>
      <w:pPr>
        <w:adjustRightInd w:val="0"/>
        <w:snapToGrid w:val="0"/>
        <w:spacing w:line="400" w:lineRule="exact"/>
        <w:ind w:firstLine="420"/>
        <w:contextualSpacing/>
        <w:rPr>
          <w:rFonts w:ascii="仿宋_GB2312" w:hAnsi="宋体" w:eastAsia="仿宋_GB2312"/>
          <w:b/>
          <w:szCs w:val="21"/>
        </w:rPr>
      </w:pPr>
      <w:r>
        <w:rPr>
          <w:rFonts w:hint="eastAsia" w:ascii="仿宋_GB2312" w:hAnsi="宋体" w:eastAsia="仿宋_GB2312"/>
          <w:b/>
          <w:szCs w:val="21"/>
        </w:rPr>
        <w:t>（二）交易受理条件提示：</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1. 甲方若与乙方通过书面的形式签订本协议，双方签字盖章则本协议成立并生效；甲方若通过网上销售交易系统签订本服务协议，在进行网上交易过程中，甲方若点击确认，则视为甲方已仔细阅读并理解本协议，效力等同于甲、乙双方签字盖章。</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2. 甲方开立的交易账户在本协议履行过程中应处于正常交易状态。</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3. 甲方开立账户时，依据乙方相关机构用户开户操作规则办理。</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4. 乙方收到甲方提交的认购、申购申请后，应在验证投资者账户有足够资金后方可办理申请。申购基金的价格计算以申请提交日的基金资产净值为依据。</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5. 乙方收到甲方提交的赎回申请后，应在验证投资者账户有足够的基金份额后方可办理申请，否则视为无效申请，乙方可不予执行甲方赎回申请。</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6. 甲方所申请的金额需符合相关规定，且甲方交易申认/申购申请金额应与乙方结算账户实际到账金额一致，来自甲方开户时设置的银行账户。如不满足上述条件，则交易申请无效。</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7. 基金认/申购、赎回、转换、快速取现等业务会涉及到相应的交易费用，投资者应知晓相应交易费率及计算方式，并承担相应的交易费用。</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8. 乙方受理交易不代表交易一定成功，甲方可于 D+2 日（其中 D 为申请日）起查询基金管理人对交易的确认情况，交易结果以基金管理人的确认数据为准。交易失败情况将由基金管理人通知投资者，如基金公司无法提供该服务，乙方将通过短信或电子邮件的方式主动通知投资者。</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9. 网上交易的开通、变更与终止提示。甲方欲开通或终止网上交易，须依据甲方相关机构用户操作流程办理。</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b/>
          <w:sz w:val="21"/>
          <w:szCs w:val="21"/>
        </w:rPr>
        <w:t>（三）支付业务提示</w:t>
      </w:r>
      <w:r>
        <w:rPr>
          <w:rFonts w:hint="eastAsia" w:ascii="仿宋_GB2312" w:hAnsi="宋体" w:eastAsia="仿宋_GB2312"/>
          <w:sz w:val="21"/>
          <w:szCs w:val="21"/>
        </w:rPr>
        <w:t>：如甲方使用自助交易系统进行交易时，甲方所申请的金额需符合相关规定，且甲方交易申认购申请金额应与乙方结算账户实际到账金额一致，来自甲方开户时设置的银行账户，并在 15 点前划到乙方结算账户。如到账金额多于申购申请金额，乙方有义务将多余金额于收到甲方划付款后及时退回甲方预留银行账户；如到账金额不足，乙方需提醒甲方开户时预留的管理员或对接商务人员及时划款。甲方为专业机构投资者需托管人进行划款操作的，应联系托管人按时划款到乙方结算账户。</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b/>
          <w:sz w:val="21"/>
          <w:szCs w:val="21"/>
        </w:rPr>
        <w:t>（四）投资者信息收集提示：</w:t>
      </w:r>
      <w:r>
        <w:rPr>
          <w:rFonts w:hint="eastAsia" w:ascii="仿宋_GB2312" w:hAnsi="宋体" w:eastAsia="仿宋_GB2312"/>
          <w:sz w:val="21"/>
          <w:szCs w:val="21"/>
        </w:rPr>
        <w:t>乙方遵循合法、正当、必要的原则，为实现客户身份验证及基金交易的其他功能，在开户过程中将收集投资者相关必要信息，具体以国家法律法规的相关规定为准。</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（五）为确认甲方网上交易申请的真实性，乙方可能与甲方电话联系，甲方应保证其预留电话号码的真实性和有效性，如无法通过电话确认网上交易申请的真实性，乙方有权拒绝受理该交易申请。</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b/>
          <w:sz w:val="21"/>
          <w:szCs w:val="21"/>
        </w:rPr>
        <w:t>（六）电话录音提示：</w:t>
      </w:r>
      <w:r>
        <w:rPr>
          <w:rFonts w:hint="eastAsia" w:ascii="仿宋_GB2312" w:hAnsi="宋体" w:eastAsia="仿宋_GB2312"/>
          <w:sz w:val="21"/>
          <w:szCs w:val="21"/>
        </w:rPr>
        <w:t>为作为日后核查的依据，乙方可能对双方电话通话内容进行录音，甲方同意进行电话录音并认可该录音是双方交易真实有效的证据。</w:t>
      </w:r>
    </w:p>
    <w:p>
      <w:pPr>
        <w:adjustRightInd w:val="0"/>
        <w:snapToGrid w:val="0"/>
        <w:spacing w:line="400" w:lineRule="exact"/>
        <w:ind w:firstLine="420"/>
        <w:contextualSpacing/>
        <w:rPr>
          <w:rFonts w:ascii="仿宋_GB2312" w:hAnsi="宋体" w:eastAsia="仿宋_GB2312"/>
          <w:szCs w:val="21"/>
        </w:rPr>
      </w:pPr>
      <w:r>
        <w:rPr>
          <w:rFonts w:hint="eastAsia" w:ascii="仿宋_GB2312" w:hAnsi="宋体" w:eastAsia="仿宋_GB2312"/>
          <w:b/>
          <w:szCs w:val="21"/>
        </w:rPr>
        <w:t>（七）设备提示：</w:t>
      </w:r>
      <w:r>
        <w:rPr>
          <w:rFonts w:hint="eastAsia" w:ascii="仿宋_GB2312" w:hAnsi="宋体" w:eastAsia="仿宋_GB2312"/>
          <w:szCs w:val="21"/>
        </w:rPr>
        <w:t>甲方应具备本协议约定交易所必需的设备。</w:t>
      </w:r>
    </w:p>
    <w:p>
      <w:pPr>
        <w:pStyle w:val="18"/>
        <w:snapToGrid w:val="0"/>
        <w:spacing w:line="400" w:lineRule="exact"/>
        <w:ind w:firstLine="420"/>
        <w:contextualSpacing/>
        <w:rPr>
          <w:rFonts w:ascii="仿宋_GB2312" w:hAnsi="宋体" w:eastAsia="仿宋_GB2312"/>
          <w:b/>
          <w:sz w:val="21"/>
          <w:szCs w:val="21"/>
        </w:rPr>
      </w:pPr>
      <w:r>
        <w:rPr>
          <w:rFonts w:hint="eastAsia" w:ascii="仿宋_GB2312" w:hAnsi="宋体" w:eastAsia="仿宋_GB2312"/>
          <w:b/>
          <w:sz w:val="21"/>
          <w:szCs w:val="21"/>
        </w:rPr>
        <w:t>（八）委托提示：</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1.甲方进行各项交易的的内容，均以乙方的真实系统记录为准。</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2.甲方使用网上交易，需自行支付因此产生的相关费用,如上网费、电话费等。</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b/>
          <w:sz w:val="21"/>
          <w:szCs w:val="21"/>
        </w:rPr>
        <w:t>（九）委托受理时间提示：</w:t>
      </w:r>
      <w:r>
        <w:rPr>
          <w:rFonts w:hint="eastAsia" w:ascii="仿宋_GB2312" w:hAnsi="宋体" w:eastAsia="仿宋_GB2312"/>
          <w:sz w:val="21"/>
          <w:szCs w:val="21"/>
        </w:rPr>
        <w:t>认购期内的基金当日委托申请的受理时间以销售公告或其他公告中规定的基金交易系统办理认购时间为准。在开放日，基金当日委托申请的受理截止时间为 15：00，如甲方 15：00 后提交委托申请，则甲方的委托申请按下一个工作日的申请处理。甲方委托申请的时间以乙方系统自动记载时间为准。</w:t>
      </w:r>
    </w:p>
    <w:p>
      <w:pPr>
        <w:pStyle w:val="18"/>
        <w:snapToGrid w:val="0"/>
        <w:spacing w:line="400" w:lineRule="exact"/>
        <w:ind w:firstLine="420"/>
        <w:contextualSpacing/>
        <w:rPr>
          <w:rFonts w:ascii="仿宋_GB2312" w:hAnsi="宋体" w:eastAsia="仿宋_GB2312"/>
          <w:b/>
          <w:sz w:val="21"/>
          <w:szCs w:val="21"/>
        </w:rPr>
      </w:pPr>
      <w:r>
        <w:rPr>
          <w:rFonts w:hint="eastAsia" w:ascii="仿宋_GB2312" w:hAnsi="宋体" w:eastAsia="仿宋_GB2312"/>
          <w:b/>
          <w:sz w:val="21"/>
          <w:szCs w:val="21"/>
        </w:rPr>
        <w:t>（十）注意事项</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1. 认/申购</w:t>
      </w:r>
    </w:p>
    <w:p>
      <w:pPr>
        <w:pStyle w:val="18"/>
        <w:snapToGrid w:val="0"/>
        <w:spacing w:line="400" w:lineRule="exact"/>
        <w:ind w:left="420"/>
        <w:contextualSpacing/>
        <w:rPr>
          <w:rFonts w:ascii="仿宋_GB2312" w:hAnsi="宋体" w:eastAsia="仿宋_GB2312"/>
          <w:sz w:val="21"/>
          <w:szCs w:val="21"/>
        </w:rPr>
      </w:pPr>
      <w:r>
        <w:rPr>
          <w:rFonts w:hint="eastAsia" w:ascii="仿宋_GB2312" w:hAnsi="宋体" w:eastAsia="仿宋_GB2312"/>
          <w:sz w:val="21"/>
          <w:szCs w:val="21"/>
        </w:rPr>
        <w:t>a、募集期内，除认购以外不受理其他业务，甲方可以多次办理认购。</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b、甲方在同一交易日可多次进行申购。</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c、甲方申购业务在乙方成功受理（甲方交易申请符合初步业务规则且已经成功将款项划转至乙方）的情况下，甲方可以于当日15:00前向乙方申请撤单。超过15:00后，根据法律法规规定，甲方不得撤单。</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2. 赎回</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a、甲方的赎回申请可能因招募说明书中规定的巨额赎回、不可抗力等情形出现而不能成功。敬请留意相关基金公司的信息披露公告。</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b、赎回基金价格的计算以销售机构签收本申请之日终基金单位净值为依据。巨额赎回的顺延赎回部分的价格计算以顺延日之日终基金资产净值为依据。</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c、甲方单笔赎回不得低于基金公司规定的最低赎回份额限制，且满足交易账户余额最低份额限制，否则乙方将视作甲方赎回其交易账户全部基金余额。</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d、甲方赎回资金为赎回金额扣除赎回费用后的净资金额，该资金将在基金招募说明书规定的日期内划入甲方开户时预留的银行账户。</w:t>
      </w:r>
    </w:p>
    <w:p>
      <w:pPr>
        <w:adjustRightInd w:val="0"/>
        <w:snapToGrid w:val="0"/>
        <w:spacing w:line="400" w:lineRule="exact"/>
        <w:ind w:firstLine="420"/>
        <w:contextualSpacing/>
        <w:rPr>
          <w:rFonts w:ascii="仿宋_GB2312" w:hAnsi="宋体" w:eastAsia="仿宋_GB2312"/>
          <w:szCs w:val="21"/>
        </w:rPr>
      </w:pPr>
      <w:r>
        <w:rPr>
          <w:rFonts w:hint="eastAsia" w:ascii="仿宋_GB2312" w:hAnsi="宋体" w:eastAsia="仿宋_GB2312"/>
          <w:szCs w:val="21"/>
        </w:rPr>
        <w:t>3. 转换</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a、甲方须在交易账户所在的销售机构进行基金份额的转换。</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b、发生巨额赎回情况时，基金转换申请并入巨额赎回程序处理。发生巨额赎回时当日未获受理的转换部分不再顺延。</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c、甲方转换基金份额数量不得超过申请日甲方在该销售机构交易账户的可用余额。</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d、转换业务的计费规则比较复杂，且均由基金管理人根据《基金合同》和公告业务规则办理，投资者进行转换操作之前务必准确了解。</w:t>
      </w:r>
    </w:p>
    <w:p>
      <w:pPr>
        <w:pStyle w:val="2"/>
        <w:adjustRightInd w:val="0"/>
        <w:snapToGrid w:val="0"/>
        <w:spacing w:before="0" w:after="0" w:line="400" w:lineRule="exact"/>
        <w:ind w:firstLine="426" w:firstLineChars="202"/>
        <w:contextualSpacing/>
        <w:jc w:val="left"/>
        <w:rPr>
          <w:rFonts w:ascii="仿宋_GB2312" w:eastAsia="仿宋_GB2312"/>
          <w:sz w:val="21"/>
          <w:szCs w:val="21"/>
        </w:rPr>
      </w:pPr>
      <w:bookmarkStart w:id="7" w:name="_Toc109989069"/>
      <w:r>
        <w:rPr>
          <w:rFonts w:hint="eastAsia" w:ascii="仿宋_GB2312" w:eastAsia="仿宋_GB2312"/>
          <w:sz w:val="21"/>
          <w:szCs w:val="21"/>
        </w:rPr>
        <w:t>第七条 免责条款</w:t>
      </w:r>
      <w:bookmarkEnd w:id="7"/>
    </w:p>
    <w:p>
      <w:pPr>
        <w:adjustRightInd w:val="0"/>
        <w:snapToGrid w:val="0"/>
        <w:spacing w:line="400" w:lineRule="exact"/>
        <w:ind w:firstLine="422" w:firstLineChars="200"/>
        <w:contextualSpacing/>
        <w:rPr>
          <w:rFonts w:ascii="仿宋_GB2312" w:hAnsi="宋体" w:eastAsia="仿宋_GB2312"/>
          <w:b/>
          <w:bCs/>
          <w:szCs w:val="21"/>
        </w:rPr>
      </w:pPr>
      <w:r>
        <w:rPr>
          <w:rFonts w:hint="eastAsia" w:ascii="仿宋_GB2312" w:hAnsi="宋体" w:eastAsia="仿宋_GB2312"/>
          <w:b/>
          <w:bCs/>
          <w:szCs w:val="21"/>
        </w:rPr>
        <w:t>双方特别约定，各方对以下情形以及以下情形导致的损失不承担任何责任：</w:t>
      </w:r>
    </w:p>
    <w:p>
      <w:pPr>
        <w:pStyle w:val="18"/>
        <w:snapToGrid w:val="0"/>
        <w:spacing w:line="400" w:lineRule="exact"/>
        <w:ind w:firstLine="420"/>
        <w:contextualSpacing/>
        <w:rPr>
          <w:rFonts w:ascii="仿宋_GB2312" w:hAnsi="宋体" w:eastAsia="仿宋_GB2312" w:cstheme="minorBidi"/>
          <w:color w:val="auto"/>
          <w:kern w:val="2"/>
          <w:sz w:val="21"/>
          <w:szCs w:val="21"/>
          <w:lang w:val="zh-CN"/>
        </w:rPr>
      </w:pPr>
      <w:r>
        <w:rPr>
          <w:rFonts w:hint="eastAsia" w:ascii="仿宋_GB2312" w:hAnsi="宋体" w:eastAsia="仿宋_GB2312" w:cstheme="minorBidi"/>
          <w:color w:val="auto"/>
          <w:kern w:val="2"/>
          <w:sz w:val="21"/>
          <w:szCs w:val="21"/>
          <w:lang w:val="zh-CN"/>
        </w:rPr>
        <w:t>（一）</w:t>
      </w:r>
      <w:r>
        <w:rPr>
          <w:rFonts w:ascii="仿宋_GB2312" w:hAnsi="宋体" w:eastAsia="仿宋_GB2312" w:cstheme="minorBidi"/>
          <w:color w:val="auto"/>
          <w:kern w:val="2"/>
          <w:sz w:val="21"/>
          <w:szCs w:val="21"/>
          <w:lang w:val="zh-CN"/>
        </w:rPr>
        <w:t>、地震、火灾、台风、洪水、瘟疫等自然灾害；</w:t>
      </w:r>
    </w:p>
    <w:p>
      <w:pPr>
        <w:pStyle w:val="18"/>
        <w:snapToGrid w:val="0"/>
        <w:spacing w:line="400" w:lineRule="exact"/>
        <w:ind w:firstLine="420"/>
        <w:contextualSpacing/>
        <w:rPr>
          <w:rFonts w:ascii="仿宋_GB2312" w:hAnsi="宋体" w:eastAsia="仿宋_GB2312" w:cstheme="minorBidi"/>
          <w:color w:val="auto"/>
          <w:kern w:val="2"/>
          <w:sz w:val="21"/>
          <w:szCs w:val="21"/>
          <w:lang w:val="zh-CN"/>
        </w:rPr>
      </w:pPr>
      <w:r>
        <w:rPr>
          <w:rFonts w:hint="eastAsia" w:ascii="仿宋_GB2312" w:hAnsi="宋体" w:eastAsia="仿宋_GB2312" w:cstheme="minorBidi"/>
          <w:color w:val="auto"/>
          <w:kern w:val="2"/>
          <w:sz w:val="21"/>
          <w:szCs w:val="21"/>
          <w:lang w:val="zh-CN"/>
        </w:rPr>
        <w:t>（二）</w:t>
      </w:r>
      <w:r>
        <w:rPr>
          <w:rFonts w:ascii="仿宋_GB2312" w:hAnsi="宋体" w:eastAsia="仿宋_GB2312" w:cstheme="minorBidi"/>
          <w:color w:val="auto"/>
          <w:kern w:val="2"/>
          <w:sz w:val="21"/>
          <w:szCs w:val="21"/>
          <w:lang w:val="zh-CN"/>
        </w:rPr>
        <w:t>、战争、暴动、罢工等人为事件；</w:t>
      </w:r>
    </w:p>
    <w:p>
      <w:pPr>
        <w:pStyle w:val="18"/>
        <w:snapToGrid w:val="0"/>
        <w:spacing w:line="400" w:lineRule="exact"/>
        <w:ind w:firstLine="420"/>
        <w:contextualSpacing/>
        <w:rPr>
          <w:rFonts w:ascii="仿宋_GB2312" w:hAnsi="宋体" w:eastAsia="仿宋_GB2312" w:cstheme="minorBidi"/>
          <w:color w:val="auto"/>
          <w:kern w:val="2"/>
          <w:sz w:val="21"/>
          <w:szCs w:val="21"/>
          <w:lang w:val="zh-CN"/>
        </w:rPr>
      </w:pPr>
      <w:r>
        <w:rPr>
          <w:rFonts w:hint="eastAsia" w:ascii="仿宋_GB2312" w:hAnsi="宋体" w:eastAsia="仿宋_GB2312" w:cstheme="minorBidi"/>
          <w:color w:val="auto"/>
          <w:kern w:val="2"/>
          <w:sz w:val="21"/>
          <w:szCs w:val="21"/>
          <w:lang w:val="zh-CN"/>
        </w:rPr>
        <w:t>（三）</w:t>
      </w:r>
      <w:r>
        <w:rPr>
          <w:rFonts w:ascii="仿宋_GB2312" w:hAnsi="宋体" w:eastAsia="仿宋_GB2312" w:cstheme="minorBidi"/>
          <w:color w:val="auto"/>
          <w:kern w:val="2"/>
          <w:sz w:val="21"/>
          <w:szCs w:val="21"/>
          <w:lang w:val="zh-CN"/>
        </w:rPr>
        <w:t>、第三方服务中断、迟延或差错，包括但不限于停电、资金结算机构或电信服务商因网络、通讯系统故障、设备故障、通讯</w:t>
      </w:r>
      <w:r>
        <w:rPr>
          <w:rFonts w:hint="eastAsia" w:ascii="仿宋_GB2312" w:hAnsi="宋体" w:eastAsia="仿宋_GB2312" w:cstheme="minorBidi"/>
          <w:color w:val="auto"/>
          <w:kern w:val="2"/>
          <w:sz w:val="21"/>
          <w:szCs w:val="21"/>
          <w:lang w:val="zh-CN"/>
        </w:rPr>
        <w:t>技术缺陷、电脑黑客或计算机病毒或其他原因而导致中断、堵塞、停止、迟延或错误提供服务等；</w:t>
      </w:r>
    </w:p>
    <w:p>
      <w:pPr>
        <w:pStyle w:val="18"/>
        <w:snapToGrid w:val="0"/>
        <w:spacing w:line="400" w:lineRule="exact"/>
        <w:ind w:firstLine="420"/>
        <w:contextualSpacing/>
        <w:rPr>
          <w:rFonts w:ascii="仿宋_GB2312" w:hAnsi="宋体" w:eastAsia="仿宋_GB2312" w:cstheme="minorBidi"/>
          <w:color w:val="auto"/>
          <w:kern w:val="2"/>
          <w:sz w:val="21"/>
          <w:szCs w:val="21"/>
          <w:lang w:val="zh-CN"/>
        </w:rPr>
      </w:pPr>
      <w:r>
        <w:rPr>
          <w:rFonts w:hint="eastAsia" w:ascii="仿宋_GB2312" w:hAnsi="宋体" w:eastAsia="仿宋_GB2312" w:cstheme="minorBidi"/>
          <w:color w:val="auto"/>
          <w:kern w:val="2"/>
          <w:sz w:val="21"/>
          <w:szCs w:val="21"/>
          <w:lang w:val="zh-CN"/>
        </w:rPr>
        <w:t>（四）</w:t>
      </w:r>
      <w:r>
        <w:rPr>
          <w:rFonts w:ascii="仿宋_GB2312" w:hAnsi="宋体" w:eastAsia="仿宋_GB2312" w:cstheme="minorBidi"/>
          <w:color w:val="auto"/>
          <w:kern w:val="2"/>
          <w:sz w:val="21"/>
          <w:szCs w:val="21"/>
          <w:lang w:val="zh-CN"/>
        </w:rPr>
        <w:t>、为确保网络传输的安全，保障甲方的利益，乙方对网络资料的传输采用网上安全电子认证证书方式，但乙方无法保证电子信息绝对安全、毫无错误、指定网址不被恶意攻击或因存在电子病毒所导致的故障，乙方也不为此承担任何责任或对甲方因出现上述故障所可能导致的任何损失承担任何责任；</w:t>
      </w:r>
    </w:p>
    <w:p>
      <w:pPr>
        <w:pStyle w:val="18"/>
        <w:snapToGrid w:val="0"/>
        <w:spacing w:line="400" w:lineRule="exact"/>
        <w:ind w:firstLine="420"/>
        <w:contextualSpacing/>
        <w:rPr>
          <w:rFonts w:ascii="仿宋_GB2312" w:hAnsi="宋体" w:eastAsia="仿宋_GB2312" w:cstheme="minorBidi"/>
          <w:color w:val="auto"/>
          <w:kern w:val="2"/>
          <w:sz w:val="21"/>
          <w:szCs w:val="21"/>
          <w:lang w:val="zh-CN"/>
        </w:rPr>
      </w:pPr>
      <w:r>
        <w:rPr>
          <w:rFonts w:hint="eastAsia" w:ascii="仿宋_GB2312" w:hAnsi="宋体" w:eastAsia="仿宋_GB2312" w:cstheme="minorBidi"/>
          <w:color w:val="auto"/>
          <w:kern w:val="2"/>
          <w:sz w:val="21"/>
          <w:szCs w:val="21"/>
          <w:lang w:val="zh-CN"/>
        </w:rPr>
        <w:t>（五）</w:t>
      </w:r>
      <w:r>
        <w:rPr>
          <w:rFonts w:ascii="仿宋_GB2312" w:hAnsi="宋体" w:eastAsia="仿宋_GB2312" w:cstheme="minorBidi"/>
          <w:color w:val="auto"/>
          <w:kern w:val="2"/>
          <w:sz w:val="21"/>
          <w:szCs w:val="21"/>
          <w:lang w:val="zh-CN"/>
        </w:rPr>
        <w:t>、法律和政策重大变化、其他政府行为或乙方不可预测和不可控制因素导致的突发事件；</w:t>
      </w:r>
    </w:p>
    <w:p>
      <w:pPr>
        <w:pStyle w:val="18"/>
        <w:snapToGrid w:val="0"/>
        <w:spacing w:line="400" w:lineRule="exact"/>
        <w:ind w:firstLine="420"/>
        <w:contextualSpacing/>
        <w:rPr>
          <w:rFonts w:ascii="仿宋_GB2312" w:hAnsi="宋体" w:eastAsia="仿宋_GB2312" w:cstheme="minorBidi"/>
          <w:color w:val="auto"/>
          <w:kern w:val="2"/>
          <w:sz w:val="21"/>
          <w:szCs w:val="21"/>
          <w:lang w:val="zh-CN"/>
        </w:rPr>
      </w:pPr>
      <w:r>
        <w:rPr>
          <w:rFonts w:hint="eastAsia" w:ascii="仿宋_GB2312" w:hAnsi="宋体" w:eastAsia="仿宋_GB2312" w:cstheme="minorBidi"/>
          <w:color w:val="auto"/>
          <w:kern w:val="2"/>
          <w:sz w:val="21"/>
          <w:szCs w:val="21"/>
          <w:lang w:val="zh-CN"/>
        </w:rPr>
        <w:t>（六）</w:t>
      </w:r>
      <w:r>
        <w:rPr>
          <w:rFonts w:ascii="仿宋_GB2312" w:hAnsi="宋体" w:eastAsia="仿宋_GB2312" w:cstheme="minorBidi"/>
          <w:color w:val="auto"/>
          <w:kern w:val="2"/>
          <w:sz w:val="21"/>
          <w:szCs w:val="21"/>
          <w:lang w:val="zh-CN"/>
        </w:rPr>
        <w:t>、因甲方设备或通讯故障或设备未能处于正常工作状态，致使乙方未能按时收到甲方的申请信息或乙方收到甲方的申请信息不完整；</w:t>
      </w:r>
    </w:p>
    <w:p>
      <w:pPr>
        <w:pStyle w:val="18"/>
        <w:snapToGrid w:val="0"/>
        <w:spacing w:line="400" w:lineRule="exact"/>
        <w:ind w:firstLine="420"/>
        <w:contextualSpacing/>
        <w:rPr>
          <w:rFonts w:ascii="仿宋_GB2312" w:hAnsi="宋体" w:eastAsia="仿宋_GB2312" w:cstheme="minorBidi"/>
          <w:color w:val="auto"/>
          <w:kern w:val="2"/>
          <w:sz w:val="21"/>
          <w:szCs w:val="21"/>
          <w:lang w:val="zh-CN"/>
        </w:rPr>
      </w:pPr>
      <w:r>
        <w:rPr>
          <w:rFonts w:hint="eastAsia" w:ascii="仿宋_GB2312" w:hAnsi="宋体" w:eastAsia="仿宋_GB2312" w:cstheme="minorBidi"/>
          <w:color w:val="auto"/>
          <w:kern w:val="2"/>
          <w:sz w:val="21"/>
          <w:szCs w:val="21"/>
          <w:lang w:val="zh-CN"/>
        </w:rPr>
        <w:t>（七）</w:t>
      </w:r>
      <w:r>
        <w:rPr>
          <w:rFonts w:ascii="仿宋_GB2312" w:hAnsi="宋体" w:eastAsia="仿宋_GB2312" w:cstheme="minorBidi"/>
          <w:color w:val="auto"/>
          <w:kern w:val="2"/>
          <w:sz w:val="21"/>
          <w:szCs w:val="21"/>
          <w:lang w:val="zh-CN"/>
        </w:rPr>
        <w:t>、因甲方的故意或疏忽导致交易密码泄露或遗失，由此导致甲方损失的；</w:t>
      </w:r>
    </w:p>
    <w:p>
      <w:pPr>
        <w:pStyle w:val="18"/>
        <w:snapToGrid w:val="0"/>
        <w:spacing w:line="400" w:lineRule="exact"/>
        <w:ind w:firstLine="420"/>
        <w:contextualSpacing/>
        <w:rPr>
          <w:rFonts w:ascii="仿宋_GB2312" w:hAnsi="宋体" w:eastAsia="仿宋_GB2312" w:cstheme="minorBidi"/>
          <w:color w:val="auto"/>
          <w:kern w:val="2"/>
          <w:sz w:val="21"/>
          <w:szCs w:val="21"/>
          <w:lang w:val="zh-CN"/>
        </w:rPr>
      </w:pPr>
      <w:r>
        <w:rPr>
          <w:rFonts w:hint="eastAsia" w:ascii="仿宋_GB2312" w:hAnsi="宋体" w:eastAsia="仿宋_GB2312" w:cstheme="minorBidi"/>
          <w:color w:val="auto"/>
          <w:kern w:val="2"/>
          <w:sz w:val="21"/>
          <w:szCs w:val="21"/>
          <w:lang w:val="zh-CN"/>
        </w:rPr>
        <w:t>（八）</w:t>
      </w:r>
      <w:r>
        <w:rPr>
          <w:rFonts w:ascii="仿宋_GB2312" w:hAnsi="宋体" w:eastAsia="仿宋_GB2312" w:cstheme="minorBidi"/>
          <w:color w:val="auto"/>
          <w:kern w:val="2"/>
          <w:sz w:val="21"/>
          <w:szCs w:val="21"/>
          <w:lang w:val="zh-CN"/>
        </w:rPr>
        <w:t>、法律规定和本协议约定的其他乙方免责事项。</w:t>
      </w:r>
    </w:p>
    <w:p>
      <w:pPr>
        <w:pStyle w:val="2"/>
        <w:adjustRightInd w:val="0"/>
        <w:snapToGrid w:val="0"/>
        <w:spacing w:before="0" w:after="0" w:line="400" w:lineRule="exact"/>
        <w:ind w:firstLine="426" w:firstLineChars="202"/>
        <w:contextualSpacing/>
        <w:jc w:val="left"/>
        <w:rPr>
          <w:rFonts w:ascii="仿宋_GB2312" w:eastAsia="仿宋_GB2312"/>
          <w:sz w:val="21"/>
          <w:szCs w:val="21"/>
        </w:rPr>
      </w:pPr>
      <w:bookmarkStart w:id="8" w:name="_Toc109989070"/>
      <w:r>
        <w:rPr>
          <w:rFonts w:hint="eastAsia" w:ascii="仿宋_GB2312" w:eastAsia="仿宋_GB2312"/>
          <w:sz w:val="21"/>
          <w:szCs w:val="21"/>
        </w:rPr>
        <w:t>第八条 反商业贿赂条款</w:t>
      </w:r>
      <w:bookmarkEnd w:id="8"/>
    </w:p>
    <w:p>
      <w:pPr>
        <w:adjustRightInd w:val="0"/>
        <w:snapToGrid w:val="0"/>
        <w:spacing w:line="400" w:lineRule="exact"/>
        <w:ind w:firstLine="420" w:firstLineChars="200"/>
        <w:contextualSpacing/>
        <w:rPr>
          <w:rFonts w:ascii="仿宋_GB2312" w:hAnsi="宋体" w:eastAsia="仿宋_GB2312"/>
          <w:szCs w:val="21"/>
          <w:lang w:val="zh-CN"/>
        </w:rPr>
      </w:pPr>
      <w:r>
        <w:rPr>
          <w:rFonts w:hint="eastAsia" w:ascii="仿宋_GB2312" w:hAnsi="宋体" w:eastAsia="仿宋_GB2312"/>
          <w:szCs w:val="21"/>
          <w:lang w:val="zh-CN"/>
        </w:rPr>
        <w:t>甲乙双方都清楚并愿意严格遵守中华人民共和国反商业贿赂的法律规定，双方都清楚任何形式的贿赂和贪渎行为都将触犯法律，并将受到法律的严惩。甲乙双方均不得向对方或对方经办部门或其他与协议有直接或间接利益关系的人员索要、收受、提供、给予协议约定外的任何利益，包括但不限于明扣、暗扣、现金、购物卡、实物、有价证券、旅游、招待或其他非物质性利益等。甲乙双方均严格禁止经办部门员工的任何商业贿赂行为，若经办部门发生本条所列示的任何一种行为，都是违反公司制度的，都将受到公司制度和国家法律的惩处。任何一方违反本条款规定给对方造成损失的，违约方应赔偿因此给守约方造成的全部损失。</w:t>
      </w:r>
    </w:p>
    <w:p>
      <w:pPr>
        <w:adjustRightInd w:val="0"/>
        <w:snapToGrid w:val="0"/>
        <w:spacing w:line="400" w:lineRule="exact"/>
        <w:ind w:firstLine="420" w:firstLineChars="200"/>
        <w:contextualSpacing/>
        <w:rPr>
          <w:rFonts w:ascii="仿宋_GB2312" w:hAnsi="宋体" w:eastAsia="仿宋_GB2312"/>
          <w:szCs w:val="21"/>
          <w:lang w:val="zh-CN"/>
        </w:rPr>
      </w:pPr>
      <w:r>
        <w:rPr>
          <w:rFonts w:hint="eastAsia" w:ascii="仿宋_GB2312" w:hAnsi="宋体" w:eastAsia="仿宋_GB2312"/>
          <w:szCs w:val="21"/>
          <w:lang w:val="zh-CN"/>
        </w:rPr>
        <w:t>同时甲乙双方均应支持对方的廉洁诚信建设工作，如发现对方人员有违反上述约定的，应向对方举报，举报渠道如下：</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甲方：廉政举报邮箱：               ，联系电话：             。</w:t>
      </w:r>
    </w:p>
    <w:p>
      <w:pPr>
        <w:pStyle w:val="18"/>
        <w:snapToGrid w:val="0"/>
        <w:spacing w:line="400" w:lineRule="exact"/>
        <w:ind w:firstLine="420"/>
        <w:contextualSpacing/>
        <w:rPr>
          <w:rFonts w:ascii="仿宋_GB2312" w:hAnsi="宋体" w:eastAsia="仿宋_GB2312" w:cstheme="minorBidi"/>
          <w:color w:val="auto"/>
          <w:kern w:val="2"/>
          <w:sz w:val="21"/>
          <w:szCs w:val="21"/>
        </w:rPr>
      </w:pPr>
      <w:r>
        <w:rPr>
          <w:rFonts w:hint="eastAsia" w:ascii="仿宋_GB2312" w:hAnsi="宋体" w:eastAsia="仿宋_GB2312"/>
          <w:sz w:val="21"/>
          <w:szCs w:val="21"/>
        </w:rPr>
        <w:t>乙方：廉政举报邮箱：service</w:t>
      </w:r>
      <w:r>
        <w:rPr>
          <w:rFonts w:ascii="仿宋_GB2312" w:hAnsi="宋体" w:eastAsia="仿宋_GB2312"/>
          <w:sz w:val="21"/>
          <w:szCs w:val="21"/>
        </w:rPr>
        <w:t>wewon</w:t>
      </w:r>
      <w:r>
        <w:rPr>
          <w:rFonts w:hint="eastAsia" w:ascii="仿宋_GB2312" w:hAnsi="宋体" w:eastAsia="仿宋_GB2312"/>
          <w:sz w:val="21"/>
          <w:szCs w:val="21"/>
        </w:rPr>
        <w:t>@pytz.cn，联系电话：021-68889082。</w:t>
      </w:r>
    </w:p>
    <w:p>
      <w:pPr>
        <w:pStyle w:val="2"/>
        <w:adjustRightInd w:val="0"/>
        <w:snapToGrid w:val="0"/>
        <w:spacing w:before="0" w:after="0" w:line="400" w:lineRule="exact"/>
        <w:ind w:firstLine="426" w:firstLineChars="202"/>
        <w:contextualSpacing/>
        <w:jc w:val="left"/>
        <w:rPr>
          <w:rFonts w:ascii="仿宋_GB2312" w:eastAsia="仿宋_GB2312"/>
          <w:sz w:val="21"/>
          <w:szCs w:val="21"/>
        </w:rPr>
      </w:pPr>
      <w:bookmarkStart w:id="9" w:name="_Toc109989071"/>
      <w:r>
        <w:rPr>
          <w:rFonts w:hint="eastAsia" w:ascii="仿宋_GB2312" w:eastAsia="仿宋_GB2312"/>
          <w:sz w:val="21"/>
          <w:szCs w:val="21"/>
        </w:rPr>
        <w:t>第九条 争议解决</w:t>
      </w:r>
      <w:bookmarkEnd w:id="9"/>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甲、乙双方如有争议，应尽可能通过协商、调解解决，协商、调解不成，任何一方均有权向上海国际仲裁中心申请仲裁，仲裁地点为上海。仲裁裁决是终局的，对双方均有法律约束力。仲裁期间，本协议不涉及争议的条款继续履行。</w:t>
      </w:r>
    </w:p>
    <w:p>
      <w:pPr>
        <w:pStyle w:val="2"/>
        <w:adjustRightInd w:val="0"/>
        <w:snapToGrid w:val="0"/>
        <w:spacing w:before="0" w:after="0" w:line="400" w:lineRule="exact"/>
        <w:ind w:firstLine="426" w:firstLineChars="202"/>
        <w:contextualSpacing/>
        <w:jc w:val="left"/>
        <w:rPr>
          <w:rFonts w:ascii="仿宋_GB2312" w:eastAsia="仿宋_GB2312"/>
          <w:sz w:val="21"/>
          <w:szCs w:val="21"/>
        </w:rPr>
      </w:pPr>
      <w:bookmarkStart w:id="10" w:name="_Toc109989072"/>
      <w:r>
        <w:rPr>
          <w:rFonts w:hint="eastAsia" w:ascii="仿宋_GB2312" w:eastAsia="仿宋_GB2312"/>
          <w:sz w:val="21"/>
          <w:szCs w:val="21"/>
        </w:rPr>
        <w:t>第十条 送达</w:t>
      </w:r>
      <w:bookmarkEnd w:id="10"/>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甲方同意，就任何关于投资、资金支付或收取、权利义务转让、签约等内容的通知，任何关于人民法院诉讼文件、执行文件的送达，乙方可选择通过以下方式进行告知或送达：</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（一）通过乙方公告、站内信等方式公示，自乙方公示内容发布之日起满 1 个工作日，视为送达成功（请补充乙方公告网址:</w:t>
      </w:r>
      <w:r>
        <w:rPr>
          <w:rFonts w:hint="eastAsia" w:ascii="仿宋_GB2312" w:hAnsi="宋体" w:eastAsia="仿宋_GB2312"/>
          <w:sz w:val="21"/>
          <w:szCs w:val="21"/>
          <w:lang w:eastAsia="zh-CN"/>
        </w:rPr>
        <w:t>www.weonefunds.com</w:t>
      </w:r>
      <w:r>
        <w:rPr>
          <w:rFonts w:hint="eastAsia" w:ascii="仿宋_GB2312" w:hAnsi="宋体" w:eastAsia="仿宋_GB2312"/>
          <w:sz w:val="21"/>
          <w:szCs w:val="21"/>
        </w:rPr>
        <w:t>）；</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（二）通过甲方预留的电子邮件、手机短信方式传送，自送达内容由乙方邮箱系统或短信系统发出之时，视为送达成功。</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三）以常规的信件方式邮寄，自信件邮戳日期起满四个工作日视为送达。若因甲方地址、名称等联系方式有误或有变更而未书面通知乙方，或信息系统传输故障等原因导致甲方未收到该等通知的，乙方不承担责任。</w:t>
      </w:r>
    </w:p>
    <w:p>
      <w:pPr>
        <w:pStyle w:val="2"/>
        <w:adjustRightInd w:val="0"/>
        <w:snapToGrid w:val="0"/>
        <w:spacing w:before="0" w:after="0" w:line="400" w:lineRule="exact"/>
        <w:ind w:firstLine="426" w:firstLineChars="202"/>
        <w:contextualSpacing/>
        <w:jc w:val="left"/>
        <w:rPr>
          <w:rFonts w:ascii="仿宋_GB2312" w:eastAsia="仿宋_GB2312"/>
          <w:sz w:val="21"/>
          <w:szCs w:val="21"/>
        </w:rPr>
      </w:pPr>
      <w:bookmarkStart w:id="11" w:name="_Toc109989073"/>
      <w:r>
        <w:rPr>
          <w:rFonts w:hint="eastAsia" w:ascii="仿宋_GB2312" w:eastAsia="仿宋_GB2312"/>
          <w:sz w:val="21"/>
          <w:szCs w:val="21"/>
        </w:rPr>
        <w:t>第十一条 协议生效及变更</w:t>
      </w:r>
      <w:bookmarkEnd w:id="11"/>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（一）</w:t>
      </w:r>
      <w:r>
        <w:rPr>
          <w:rFonts w:hint="eastAsia" w:ascii="仿宋_GB2312" w:eastAsia="仿宋_GB2312"/>
          <w:sz w:val="21"/>
          <w:szCs w:val="21"/>
        </w:rPr>
        <w:t>如因法律法规、监管政策、功能升级等影响导致乙方修改或变更协议内容的</w:t>
      </w:r>
      <w:r>
        <w:rPr>
          <w:rFonts w:hint="eastAsia" w:ascii="仿宋_GB2312" w:hAnsi="宋体" w:eastAsia="仿宋_GB2312"/>
          <w:sz w:val="21"/>
          <w:szCs w:val="21"/>
        </w:rPr>
        <w:t>，乙方应第一时间通知甲方，并与甲方就修改或变更的内容达成合意。</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二）本协议书签署后，若有关法律法规和《基金合同》、《招募说明书》、《产品资料概要》、《公开说明书》和其他乙方和甲方应共同遵守的文件发生修订，本协议与之不相适应的内容及条款自行失效，但本协议其他内容和条款继续有效。</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（三）本协议在甲、乙双方签署后立即生效（甲方在进行网上开户申请时，点击确认，则视为对本协议的签署），在发生下述情况之一时终止：</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1. 双方签订书面协议同意终止。</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2. 双方有一方解散、清算、终止、破产等情形（适用于甲方为机构投资者）。</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3. 乙方不再作为甲方认购、申购、赎回所指向的基金或甲方所持有的基金的销售机构。</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4. 因不可抗力使本协议无法继续履行。</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5. 一方严重违约，另一方书面通知对方提出终止本协议。</w:t>
      </w:r>
    </w:p>
    <w:p>
      <w:pPr>
        <w:adjustRightInd w:val="0"/>
        <w:snapToGrid w:val="0"/>
        <w:spacing w:line="400" w:lineRule="exact"/>
        <w:ind w:firstLine="420" w:firstLineChars="200"/>
        <w:contextualSpacing/>
        <w:rPr>
          <w:rFonts w:ascii="仿宋_GB2312" w:hAnsi="宋体" w:eastAsia="仿宋_GB2312"/>
          <w:szCs w:val="21"/>
        </w:rPr>
      </w:pPr>
      <w:r>
        <w:rPr>
          <w:rFonts w:hint="eastAsia" w:ascii="仿宋_GB2312" w:hAnsi="宋体" w:eastAsia="仿宋_GB2312"/>
          <w:szCs w:val="21"/>
        </w:rPr>
        <w:t>6. 出现本协议约定的解除条款情况时终止本协议。</w:t>
      </w:r>
    </w:p>
    <w:p>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7. 法律法规或基金合同约定的其它情形。</w:t>
      </w:r>
    </w:p>
    <w:p>
      <w:pPr>
        <w:adjustRightInd w:val="0"/>
        <w:snapToGrid w:val="0"/>
        <w:spacing w:line="400" w:lineRule="exact"/>
        <w:contextualSpacing/>
        <w:rPr>
          <w:rFonts w:ascii="仿宋_GB2312" w:eastAsia="仿宋_GB2312"/>
          <w:kern w:val="0"/>
          <w:szCs w:val="21"/>
        </w:rPr>
      </w:pPr>
    </w:p>
    <w:p>
      <w:pPr>
        <w:adjustRightInd w:val="0"/>
        <w:snapToGrid w:val="0"/>
        <w:spacing w:line="400" w:lineRule="exact"/>
        <w:contextualSpacing/>
        <w:rPr>
          <w:rFonts w:ascii="仿宋_GB2312" w:eastAsia="仿宋_GB2312"/>
          <w:kern w:val="0"/>
          <w:szCs w:val="21"/>
        </w:rPr>
      </w:pPr>
      <w:r>
        <w:rPr>
          <w:rFonts w:hint="eastAsia" w:ascii="仿宋_GB2312" w:eastAsia="仿宋_GB2312"/>
          <w:kern w:val="0"/>
          <w:szCs w:val="21"/>
        </w:rPr>
        <w:t>（以下无正文，为《攀赢基金网上交易服务协议》签署页）</w:t>
      </w:r>
    </w:p>
    <w:p>
      <w:pPr>
        <w:adjustRightInd w:val="0"/>
        <w:snapToGrid w:val="0"/>
        <w:spacing w:line="400" w:lineRule="exact"/>
        <w:contextualSpacing/>
        <w:rPr>
          <w:rFonts w:ascii="仿宋_GB2312" w:eastAsia="仿宋_GB2312"/>
          <w:szCs w:val="21"/>
        </w:rPr>
      </w:pPr>
    </w:p>
    <w:tbl>
      <w:tblPr>
        <w:tblStyle w:val="13"/>
        <w:tblW w:w="9640" w:type="dxa"/>
        <w:tblInd w:w="-3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820"/>
        <w:gridCol w:w="48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26" w:hRule="atLeast"/>
        </w:trPr>
        <w:tc>
          <w:tcPr>
            <w:tcW w:w="4820" w:type="dxa"/>
          </w:tcPr>
          <w:p>
            <w:pPr>
              <w:spacing w:line="400" w:lineRule="exact"/>
              <w:rPr>
                <w:rFonts w:ascii="仿宋_GB2312" w:hAnsi="宋体" w:eastAsia="仿宋_GB2312"/>
                <w:b/>
                <w:bCs/>
                <w:sz w:val="22"/>
                <w:szCs w:val="21"/>
              </w:rPr>
            </w:pPr>
            <w:r>
              <w:rPr>
                <w:rFonts w:hint="eastAsia" w:ascii="仿宋_GB2312" w:hAnsi="宋体" w:eastAsia="仿宋_GB2312"/>
                <w:b/>
                <w:bCs/>
                <w:sz w:val="22"/>
                <w:szCs w:val="21"/>
              </w:rPr>
              <w:t>甲方（盖章）：</w:t>
            </w:r>
          </w:p>
          <w:p>
            <w:pPr>
              <w:spacing w:line="400" w:lineRule="exact"/>
              <w:rPr>
                <w:rFonts w:ascii="仿宋_GB2312" w:hAnsi="宋体" w:eastAsia="仿宋_GB2312" w:cs="Times New Roman"/>
                <w:bCs/>
                <w:sz w:val="22"/>
              </w:rPr>
            </w:pPr>
            <w:r>
              <w:rPr>
                <w:rFonts w:hint="eastAsia" w:ascii="仿宋_GB2312" w:hAnsi="宋体" w:eastAsia="仿宋_GB2312" w:cs="Times New Roman"/>
                <w:bCs/>
                <w:sz w:val="22"/>
              </w:rPr>
              <w:t>地址：</w:t>
            </w:r>
          </w:p>
          <w:p>
            <w:pPr>
              <w:spacing w:line="400" w:lineRule="exact"/>
              <w:rPr>
                <w:rFonts w:ascii="仿宋_GB2312" w:hAnsi="宋体" w:eastAsia="仿宋_GB2312" w:cs="Times New Roman"/>
                <w:bCs/>
                <w:sz w:val="22"/>
              </w:rPr>
            </w:pPr>
            <w:r>
              <w:rPr>
                <w:rFonts w:hint="eastAsia" w:ascii="仿宋_GB2312" w:hAnsi="宋体" w:eastAsia="仿宋_GB2312" w:cs="Times New Roman"/>
                <w:bCs/>
                <w:sz w:val="22"/>
              </w:rPr>
              <w:t>邮编：</w:t>
            </w:r>
          </w:p>
          <w:p>
            <w:pPr>
              <w:spacing w:line="400" w:lineRule="exact"/>
              <w:rPr>
                <w:rFonts w:ascii="仿宋_GB2312" w:hAnsi="宋体" w:eastAsia="仿宋_GB2312" w:cs="Times New Roman"/>
                <w:bCs/>
                <w:sz w:val="22"/>
              </w:rPr>
            </w:pPr>
            <w:r>
              <w:rPr>
                <w:rFonts w:hint="eastAsia" w:ascii="仿宋_GB2312" w:hAnsi="宋体" w:eastAsia="仿宋_GB2312" w:cs="Times New Roman"/>
                <w:bCs/>
                <w:sz w:val="22"/>
              </w:rPr>
              <w:t>联系电话：</w:t>
            </w:r>
          </w:p>
          <w:p>
            <w:pPr>
              <w:spacing w:line="400" w:lineRule="exact"/>
              <w:rPr>
                <w:rFonts w:ascii="仿宋_GB2312" w:hAnsi="宋体" w:eastAsia="仿宋_GB2312" w:cs="Times New Roman"/>
                <w:bCs/>
                <w:sz w:val="22"/>
              </w:rPr>
            </w:pPr>
            <w:r>
              <w:rPr>
                <w:rFonts w:hint="eastAsia" w:ascii="仿宋_GB2312" w:hAnsi="宋体" w:eastAsia="仿宋_GB2312" w:cs="Times New Roman"/>
                <w:bCs/>
                <w:sz w:val="22"/>
              </w:rPr>
              <w:t>传真：</w:t>
            </w:r>
          </w:p>
          <w:p>
            <w:pPr>
              <w:spacing w:line="400" w:lineRule="exact"/>
              <w:rPr>
                <w:rFonts w:ascii="仿宋_GB2312" w:hAnsi="宋体" w:eastAsia="仿宋_GB2312" w:cs="Times New Roman"/>
                <w:bCs/>
                <w:sz w:val="22"/>
              </w:rPr>
            </w:pPr>
            <w:r>
              <w:rPr>
                <w:rFonts w:hint="eastAsia" w:ascii="仿宋_GB2312" w:hAnsi="宋体" w:eastAsia="仿宋_GB2312" w:cs="Times New Roman"/>
                <w:bCs/>
                <w:sz w:val="22"/>
              </w:rPr>
              <w:t>法定代表人或授权代表（签字）：</w:t>
            </w:r>
          </w:p>
          <w:p>
            <w:pPr>
              <w:adjustRightInd w:val="0"/>
              <w:snapToGrid w:val="0"/>
              <w:spacing w:line="400" w:lineRule="exact"/>
              <w:contextualSpacing/>
              <w:rPr>
                <w:rFonts w:ascii="仿宋_GB2312" w:hAnsi="宋体" w:eastAsia="仿宋_GB2312"/>
                <w:sz w:val="20"/>
                <w:szCs w:val="20"/>
              </w:rPr>
            </w:pPr>
            <w:r>
              <w:rPr>
                <w:rFonts w:hint="eastAsia" w:ascii="仿宋_GB2312" w:hAnsi="宋体" w:eastAsia="仿宋_GB2312" w:cs="Times New Roman"/>
                <w:bCs/>
                <w:sz w:val="22"/>
              </w:rPr>
              <w:t>签订日期：    年  月  日</w:t>
            </w:r>
          </w:p>
        </w:tc>
        <w:tc>
          <w:tcPr>
            <w:tcW w:w="4820" w:type="dxa"/>
          </w:tcPr>
          <w:p>
            <w:pPr>
              <w:spacing w:line="400" w:lineRule="exact"/>
              <w:rPr>
                <w:rFonts w:ascii="仿宋_GB2312" w:hAnsi="宋体" w:eastAsia="仿宋_GB2312"/>
                <w:b/>
                <w:bCs/>
                <w:sz w:val="22"/>
                <w:szCs w:val="21"/>
              </w:rPr>
            </w:pPr>
            <w:r>
              <w:rPr>
                <w:rFonts w:hint="eastAsia" w:ascii="仿宋_GB2312" w:hAnsi="宋体" w:eastAsia="仿宋_GB2312"/>
                <w:b/>
                <w:bCs/>
                <w:sz w:val="22"/>
                <w:szCs w:val="21"/>
              </w:rPr>
              <w:t>乙方（盖章）：上海攀赢基金销售有限公司</w:t>
            </w:r>
          </w:p>
          <w:p>
            <w:pPr>
              <w:spacing w:line="400" w:lineRule="exact"/>
              <w:rPr>
                <w:rFonts w:ascii="仿宋_GB2312" w:hAnsi="宋体" w:eastAsia="仿宋_GB2312" w:cs="Times New Roman"/>
                <w:bCs/>
                <w:sz w:val="22"/>
              </w:rPr>
            </w:pPr>
            <w:r>
              <w:rPr>
                <w:rFonts w:hint="eastAsia" w:ascii="仿宋_GB2312" w:hAnsi="宋体" w:eastAsia="仿宋_GB2312" w:cs="Times New Roman"/>
                <w:bCs/>
                <w:sz w:val="22"/>
              </w:rPr>
              <w:t>地址：上海市浦东新区银城路116号大华银行大厦703室</w:t>
            </w:r>
          </w:p>
          <w:p>
            <w:pPr>
              <w:spacing w:line="400" w:lineRule="exact"/>
              <w:rPr>
                <w:rFonts w:ascii="仿宋_GB2312" w:hAnsi="宋体" w:eastAsia="仿宋_GB2312" w:cs="Times New Roman"/>
                <w:bCs/>
                <w:sz w:val="22"/>
              </w:rPr>
            </w:pPr>
            <w:r>
              <w:rPr>
                <w:rFonts w:hint="eastAsia" w:ascii="仿宋_GB2312" w:hAnsi="宋体" w:eastAsia="仿宋_GB2312" w:cs="Times New Roman"/>
                <w:bCs/>
                <w:sz w:val="22"/>
              </w:rPr>
              <w:t>邮编：200120</w:t>
            </w:r>
          </w:p>
          <w:p>
            <w:pPr>
              <w:spacing w:line="400" w:lineRule="exact"/>
              <w:rPr>
                <w:rFonts w:ascii="仿宋_GB2312" w:hAnsi="宋体" w:eastAsia="仿宋_GB2312" w:cs="Times New Roman"/>
                <w:bCs/>
                <w:sz w:val="22"/>
              </w:rPr>
            </w:pPr>
            <w:r>
              <w:rPr>
                <w:rFonts w:hint="eastAsia" w:ascii="仿宋_GB2312" w:hAnsi="宋体" w:eastAsia="仿宋_GB2312" w:cs="Times New Roman"/>
                <w:bCs/>
                <w:sz w:val="22"/>
              </w:rPr>
              <w:t>联系电话：021-68889082</w:t>
            </w:r>
          </w:p>
          <w:p>
            <w:pPr>
              <w:spacing w:line="400" w:lineRule="exact"/>
              <w:rPr>
                <w:rFonts w:ascii="仿宋_GB2312" w:hAnsi="宋体" w:eastAsia="仿宋_GB2312" w:cs="Times New Roman"/>
                <w:bCs/>
                <w:sz w:val="22"/>
              </w:rPr>
            </w:pPr>
            <w:r>
              <w:rPr>
                <w:rFonts w:hint="eastAsia" w:ascii="仿宋_GB2312" w:hAnsi="宋体" w:eastAsia="仿宋_GB2312" w:cs="Times New Roman"/>
                <w:bCs/>
                <w:sz w:val="22"/>
              </w:rPr>
              <w:t>传真：021-68889283</w:t>
            </w:r>
          </w:p>
          <w:p>
            <w:pPr>
              <w:spacing w:line="400" w:lineRule="exact"/>
              <w:rPr>
                <w:rFonts w:ascii="仿宋_GB2312" w:hAnsi="宋体" w:eastAsia="仿宋_GB2312" w:cs="Times New Roman"/>
                <w:bCs/>
                <w:sz w:val="22"/>
              </w:rPr>
            </w:pPr>
            <w:r>
              <w:rPr>
                <w:rFonts w:hint="eastAsia" w:ascii="仿宋_GB2312" w:hAnsi="宋体" w:eastAsia="仿宋_GB2312" w:cs="Times New Roman"/>
                <w:bCs/>
                <w:sz w:val="22"/>
              </w:rPr>
              <w:t>法定代表人或授权代表（签字）：</w:t>
            </w:r>
          </w:p>
          <w:p>
            <w:pPr>
              <w:tabs>
                <w:tab w:val="right" w:pos="4872"/>
              </w:tabs>
              <w:spacing w:line="400" w:lineRule="exact"/>
              <w:rPr>
                <w:rFonts w:ascii="仿宋_GB2312" w:hAnsi="宋体" w:eastAsia="仿宋_GB2312"/>
                <w:sz w:val="20"/>
                <w:szCs w:val="20"/>
              </w:rPr>
            </w:pPr>
            <w:r>
              <w:rPr>
                <w:rFonts w:hint="eastAsia" w:ascii="仿宋_GB2312" w:hAnsi="宋体" w:eastAsia="仿宋_GB2312" w:cs="Times New Roman"/>
                <w:bCs/>
                <w:sz w:val="22"/>
              </w:rPr>
              <w:t>签订日期：    年  月  日</w:t>
            </w:r>
            <w:r>
              <w:rPr>
                <w:rFonts w:ascii="仿宋_GB2312" w:hAnsi="宋体" w:eastAsia="仿宋_GB2312" w:cs="Times New Roman"/>
                <w:bCs/>
                <w:sz w:val="22"/>
              </w:rPr>
              <w:tab/>
            </w:r>
          </w:p>
        </w:tc>
      </w:tr>
    </w:tbl>
    <w:p>
      <w:pPr>
        <w:adjustRightInd w:val="0"/>
        <w:snapToGrid w:val="0"/>
        <w:spacing w:line="400" w:lineRule="exact"/>
        <w:contextualSpacing/>
        <w:rPr>
          <w:rFonts w:ascii="仿宋_GB2312" w:hAnsi="宋体" w:eastAsia="仿宋_GB2312"/>
          <w:sz w:val="20"/>
          <w:szCs w:val="20"/>
        </w:rPr>
      </w:pPr>
    </w:p>
    <w:sectPr>
      <w:headerReference r:id="rId5" w:type="first"/>
      <w:headerReference r:id="rId3" w:type="default"/>
      <w:footerReference r:id="rId6" w:type="default"/>
      <w:headerReference r:id="rId4" w:type="even"/>
      <w:pgSz w:w="11906" w:h="16838"/>
      <w:pgMar w:top="1440" w:right="1080" w:bottom="1440" w:left="1080" w:header="283" w:footer="737"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02645416"/>
      <w:docPartObj>
        <w:docPartGallery w:val="autotext"/>
      </w:docPartObj>
    </w:sdtPr>
    <w:sdtContent>
      <w:p>
        <w:pPr>
          <w:pStyle w:val="7"/>
          <w:jc w:val="center"/>
        </w:pPr>
        <w:r>
          <w:fldChar w:fldCharType="begin"/>
        </w:r>
        <w:r>
          <w:instrText xml:space="preserve">PAGE   \* MERGEFORMAT</w:instrText>
        </w:r>
        <w:r>
          <w:fldChar w:fldCharType="separate"/>
        </w:r>
        <w:r>
          <w:rPr>
            <w:lang w:val="zh-CN"/>
          </w:rPr>
          <w:t>19</w:t>
        </w:r>
        <w:r>
          <w:fldChar w:fldCharType="end"/>
        </w:r>
      </w:p>
    </w:sdtContent>
  </w:sdt>
  <w:p>
    <w:pPr>
      <w:pStyle w:val="7"/>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single" w:color="auto" w:sz="6" w:space="0"/>
      </w:pBdr>
      <w:ind w:right="84"/>
      <w:jc w:val="both"/>
      <w:rPr>
        <w:rFonts w:ascii="宋体" w:hAnsi="宋体" w:eastAsia="宋体"/>
        <w:sz w:val="21"/>
        <w:szCs w:val="21"/>
      </w:rPr>
    </w:pPr>
    <w:r>
      <w:drawing>
        <wp:inline distT="0" distB="0" distL="0" distR="0">
          <wp:extent cx="741680" cy="684530"/>
          <wp:effectExtent l="0" t="0" r="1270" b="1270"/>
          <wp:docPr id="4" name="图片 4"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卡通人物&#10;&#10;中度可信度描述已自动生成"/>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6402" cy="698218"/>
                  </a:xfrm>
                  <a:prstGeom prst="rect">
                    <a:avLst/>
                  </a:prstGeom>
                </pic:spPr>
              </pic:pic>
            </a:graphicData>
          </a:graphic>
        </wp:inline>
      </w:drawing>
    </w:r>
    <w:r>
      <w:rPr>
        <w:rFonts w:ascii="宋体" w:hAnsi="宋体" w:eastAsia="宋体"/>
        <w:sz w:val="21"/>
        <w:szCs w:val="21"/>
      </w:rPr>
      <w:ptab w:relativeTo="margin" w:alignment="center" w:leader="none"/>
    </w:r>
    <w:r>
      <w:rPr>
        <w:rFonts w:ascii="宋体" w:hAnsi="宋体" w:eastAsia="宋体"/>
        <w:sz w:val="21"/>
        <w:szCs w:val="21"/>
      </w:rPr>
      <w:ptab w:relativeTo="margin" w:alignment="right" w:leader="none"/>
    </w:r>
    <w:r>
      <w:rPr>
        <w:rFonts w:hint="eastAsia" w:ascii="仿宋_GB2312" w:hAnsi="微软雅黑" w:eastAsia="仿宋_GB2312"/>
        <w:sz w:val="21"/>
        <w:szCs w:val="21"/>
      </w:rPr>
      <w:t>上海攀赢基金销售有限公司</w:t>
    </w:r>
    <w:r>
      <w:rPr>
        <w:rFonts w:ascii="宋体" w:hAnsi="宋体" w:eastAsia="宋体"/>
        <w:sz w:val="21"/>
        <w:szCs w:val="21"/>
      </w:rPr>
      <w:pict>
        <v:shape id="PowerPlusWaterMarkObject1806377" o:spid="_x0000_s1027" o:spt="136" type="#_x0000_t136" style="position:absolute;left:0pt;height:44.1pt;width:541.35pt;mso-position-horizontal:center;mso-position-horizontal-relative:margin;mso-position-vertical:center;mso-position-vertical-relative:margin;rotation:20643840f;z-index:-251655168;mso-width-relative:page;mso-height-relative:page;" fillcolor="#C0C0C0" filled="t" stroked="f" coordsize="21600,21600" o:allowincell="f">
          <v:path/>
          <v:fill on="t" opacity="32768f" focussize="0,0"/>
          <v:stroke on="f"/>
          <v:imagedata o:title=""/>
          <o:lock v:ext="edit"/>
          <v:textpath on="t" fitshape="t" fitpath="t" trim="f" xscale="f" string="上海攀赢基金销售有限公司" style="font-family:宋体;font-size:1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PowerPlusWaterMarkObject1806376" o:spid="_x0000_s1026" o:spt="136" type="#_x0000_t136" style="position:absolute;left:0pt;height:44.1pt;width:541.35pt;mso-position-horizontal:center;mso-position-horizontal-relative:margin;mso-position-vertical:center;mso-position-vertical-relative:margin;rotation:20643840f;z-index:-251656192;mso-width-relative:page;mso-height-relative:page;" fillcolor="#C0C0C0" filled="t" stroked="f" coordsize="21600,21600" o:allowincell="f">
          <v:path/>
          <v:fill on="t" opacity="32768f" focussize="0,0"/>
          <v:stroke on="f"/>
          <v:imagedata o:title=""/>
          <o:lock v:ext="edit"/>
          <v:textpath on="t" fitshape="t" fitpath="t" trim="f" xscale="f" string="上海攀赢基金销售有限公司"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PowerPlusWaterMarkObject1806375" o:spid="_x0000_s1025" o:spt="136" type="#_x0000_t136" style="position:absolute;left:0pt;height:44.1pt;width:541.35pt;mso-position-horizontal:center;mso-position-horizontal-relative:margin;mso-position-vertical:center;mso-position-vertical-relative:margin;rotation:20643840f;z-index:-251657216;mso-width-relative:page;mso-height-relative:page;" fillcolor="#C0C0C0" filled="t" stroked="f" coordsize="21600,21600" o:allowincell="f">
          <v:path/>
          <v:fill on="t" opacity="32768f" focussize="0,0"/>
          <v:stroke on="f"/>
          <v:imagedata o:title=""/>
          <o:lock v:ext="edit"/>
          <v:textpath on="t" fitshape="t" fitpath="t" trim="f" xscale="f" string="上海攀赢基金销售有限公司" style="font-family:宋体;font-size:1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WVjMDA5NTM5OGE1NDQzNDRkYWIwOWYxYTAzZjYyNTYifQ=="/>
  </w:docVars>
  <w:rsids>
    <w:rsidRoot w:val="00B549F1"/>
    <w:rsid w:val="00000096"/>
    <w:rsid w:val="000075B9"/>
    <w:rsid w:val="000332CB"/>
    <w:rsid w:val="00040727"/>
    <w:rsid w:val="00045972"/>
    <w:rsid w:val="0005769C"/>
    <w:rsid w:val="00057EE5"/>
    <w:rsid w:val="00080052"/>
    <w:rsid w:val="00083908"/>
    <w:rsid w:val="000A5F71"/>
    <w:rsid w:val="000D6F60"/>
    <w:rsid w:val="000E424E"/>
    <w:rsid w:val="000E6AAE"/>
    <w:rsid w:val="000E77B9"/>
    <w:rsid w:val="000F500A"/>
    <w:rsid w:val="000F5242"/>
    <w:rsid w:val="00120067"/>
    <w:rsid w:val="001215DB"/>
    <w:rsid w:val="00127959"/>
    <w:rsid w:val="00127A6E"/>
    <w:rsid w:val="00137A4F"/>
    <w:rsid w:val="00154F91"/>
    <w:rsid w:val="00172275"/>
    <w:rsid w:val="0018185D"/>
    <w:rsid w:val="0018520F"/>
    <w:rsid w:val="00191403"/>
    <w:rsid w:val="00195145"/>
    <w:rsid w:val="001A11A8"/>
    <w:rsid w:val="001C3C5E"/>
    <w:rsid w:val="001C5EB0"/>
    <w:rsid w:val="0021140B"/>
    <w:rsid w:val="00225A29"/>
    <w:rsid w:val="00227A34"/>
    <w:rsid w:val="002355D0"/>
    <w:rsid w:val="00237001"/>
    <w:rsid w:val="002518D6"/>
    <w:rsid w:val="00251FF0"/>
    <w:rsid w:val="00253E14"/>
    <w:rsid w:val="00255236"/>
    <w:rsid w:val="00261807"/>
    <w:rsid w:val="00266714"/>
    <w:rsid w:val="00273CA3"/>
    <w:rsid w:val="002955E4"/>
    <w:rsid w:val="002966A6"/>
    <w:rsid w:val="002A21E8"/>
    <w:rsid w:val="002B34C4"/>
    <w:rsid w:val="002D6627"/>
    <w:rsid w:val="002E7A18"/>
    <w:rsid w:val="00301DAE"/>
    <w:rsid w:val="00347584"/>
    <w:rsid w:val="003572F5"/>
    <w:rsid w:val="0036646E"/>
    <w:rsid w:val="00381F2C"/>
    <w:rsid w:val="00392754"/>
    <w:rsid w:val="003A4CB3"/>
    <w:rsid w:val="003A7711"/>
    <w:rsid w:val="003B2E6E"/>
    <w:rsid w:val="003C2730"/>
    <w:rsid w:val="003C35A9"/>
    <w:rsid w:val="003C6D14"/>
    <w:rsid w:val="003D0B88"/>
    <w:rsid w:val="003D5E36"/>
    <w:rsid w:val="003F4129"/>
    <w:rsid w:val="003F6345"/>
    <w:rsid w:val="00402120"/>
    <w:rsid w:val="00411CE3"/>
    <w:rsid w:val="00452A04"/>
    <w:rsid w:val="00463C08"/>
    <w:rsid w:val="0048648C"/>
    <w:rsid w:val="004A3E17"/>
    <w:rsid w:val="004B4155"/>
    <w:rsid w:val="004D2B63"/>
    <w:rsid w:val="004F063C"/>
    <w:rsid w:val="004F751F"/>
    <w:rsid w:val="0050244B"/>
    <w:rsid w:val="00511325"/>
    <w:rsid w:val="0051242F"/>
    <w:rsid w:val="0052549E"/>
    <w:rsid w:val="005460E6"/>
    <w:rsid w:val="005467B4"/>
    <w:rsid w:val="00553C0D"/>
    <w:rsid w:val="005571D5"/>
    <w:rsid w:val="005678BD"/>
    <w:rsid w:val="00574557"/>
    <w:rsid w:val="00586D89"/>
    <w:rsid w:val="00595018"/>
    <w:rsid w:val="005A2265"/>
    <w:rsid w:val="005A2863"/>
    <w:rsid w:val="005B567D"/>
    <w:rsid w:val="005E4D99"/>
    <w:rsid w:val="005F7CB8"/>
    <w:rsid w:val="00600CE7"/>
    <w:rsid w:val="0067441C"/>
    <w:rsid w:val="00675C8C"/>
    <w:rsid w:val="00686106"/>
    <w:rsid w:val="006A135A"/>
    <w:rsid w:val="006B15AB"/>
    <w:rsid w:val="006C5390"/>
    <w:rsid w:val="006D6DB8"/>
    <w:rsid w:val="006F0A23"/>
    <w:rsid w:val="007000A3"/>
    <w:rsid w:val="00721A14"/>
    <w:rsid w:val="0072493D"/>
    <w:rsid w:val="00724F26"/>
    <w:rsid w:val="00735A85"/>
    <w:rsid w:val="00752A18"/>
    <w:rsid w:val="00760EEA"/>
    <w:rsid w:val="007611FB"/>
    <w:rsid w:val="00766E0D"/>
    <w:rsid w:val="00783129"/>
    <w:rsid w:val="00790631"/>
    <w:rsid w:val="007A7857"/>
    <w:rsid w:val="007B404F"/>
    <w:rsid w:val="007B6F31"/>
    <w:rsid w:val="007C09FE"/>
    <w:rsid w:val="007F72CD"/>
    <w:rsid w:val="00803818"/>
    <w:rsid w:val="008076F7"/>
    <w:rsid w:val="008112FF"/>
    <w:rsid w:val="00827C91"/>
    <w:rsid w:val="0083236C"/>
    <w:rsid w:val="00842E4E"/>
    <w:rsid w:val="00855098"/>
    <w:rsid w:val="008966A1"/>
    <w:rsid w:val="008D50A2"/>
    <w:rsid w:val="008F7F3D"/>
    <w:rsid w:val="00925A2F"/>
    <w:rsid w:val="00937509"/>
    <w:rsid w:val="00957317"/>
    <w:rsid w:val="0096226B"/>
    <w:rsid w:val="009824BD"/>
    <w:rsid w:val="00993ECB"/>
    <w:rsid w:val="009B5983"/>
    <w:rsid w:val="009B6F92"/>
    <w:rsid w:val="009C1F9B"/>
    <w:rsid w:val="009E6082"/>
    <w:rsid w:val="00A03411"/>
    <w:rsid w:val="00A16C45"/>
    <w:rsid w:val="00A2308F"/>
    <w:rsid w:val="00A340F9"/>
    <w:rsid w:val="00A47443"/>
    <w:rsid w:val="00A53AC6"/>
    <w:rsid w:val="00A60517"/>
    <w:rsid w:val="00A678AA"/>
    <w:rsid w:val="00A73305"/>
    <w:rsid w:val="00AA5CDF"/>
    <w:rsid w:val="00AC18FD"/>
    <w:rsid w:val="00AD021B"/>
    <w:rsid w:val="00AF1B85"/>
    <w:rsid w:val="00B11894"/>
    <w:rsid w:val="00B243FF"/>
    <w:rsid w:val="00B32E4E"/>
    <w:rsid w:val="00B40A06"/>
    <w:rsid w:val="00B549F1"/>
    <w:rsid w:val="00B54E34"/>
    <w:rsid w:val="00B620D4"/>
    <w:rsid w:val="00B63CD9"/>
    <w:rsid w:val="00B70B01"/>
    <w:rsid w:val="00B715B9"/>
    <w:rsid w:val="00B7510E"/>
    <w:rsid w:val="00B756F4"/>
    <w:rsid w:val="00B773F6"/>
    <w:rsid w:val="00B85384"/>
    <w:rsid w:val="00B876C5"/>
    <w:rsid w:val="00B9160C"/>
    <w:rsid w:val="00B936E4"/>
    <w:rsid w:val="00B95D21"/>
    <w:rsid w:val="00BD0D11"/>
    <w:rsid w:val="00C34FA9"/>
    <w:rsid w:val="00C42DA5"/>
    <w:rsid w:val="00C531C8"/>
    <w:rsid w:val="00C544DE"/>
    <w:rsid w:val="00C6100B"/>
    <w:rsid w:val="00C6168E"/>
    <w:rsid w:val="00C65EDF"/>
    <w:rsid w:val="00C95F6F"/>
    <w:rsid w:val="00CA74B3"/>
    <w:rsid w:val="00CE3510"/>
    <w:rsid w:val="00CE3644"/>
    <w:rsid w:val="00CF12D4"/>
    <w:rsid w:val="00CF58F8"/>
    <w:rsid w:val="00D23F48"/>
    <w:rsid w:val="00D24696"/>
    <w:rsid w:val="00D3633F"/>
    <w:rsid w:val="00D37434"/>
    <w:rsid w:val="00D45C21"/>
    <w:rsid w:val="00D463EC"/>
    <w:rsid w:val="00D564DC"/>
    <w:rsid w:val="00D71F69"/>
    <w:rsid w:val="00D83A34"/>
    <w:rsid w:val="00D934DF"/>
    <w:rsid w:val="00D949DE"/>
    <w:rsid w:val="00DA5736"/>
    <w:rsid w:val="00DC0000"/>
    <w:rsid w:val="00DD0AEA"/>
    <w:rsid w:val="00DD2557"/>
    <w:rsid w:val="00DD3435"/>
    <w:rsid w:val="00DF62CF"/>
    <w:rsid w:val="00E050DB"/>
    <w:rsid w:val="00E11CE1"/>
    <w:rsid w:val="00E12CF1"/>
    <w:rsid w:val="00E15E3B"/>
    <w:rsid w:val="00E3145D"/>
    <w:rsid w:val="00E65D09"/>
    <w:rsid w:val="00E8005F"/>
    <w:rsid w:val="00E82397"/>
    <w:rsid w:val="00E8316A"/>
    <w:rsid w:val="00E91809"/>
    <w:rsid w:val="00E9516D"/>
    <w:rsid w:val="00EC2E63"/>
    <w:rsid w:val="00EC4D07"/>
    <w:rsid w:val="00EC5046"/>
    <w:rsid w:val="00EC5D4E"/>
    <w:rsid w:val="00ED42AC"/>
    <w:rsid w:val="00F41DD1"/>
    <w:rsid w:val="00F43AFD"/>
    <w:rsid w:val="00F5088A"/>
    <w:rsid w:val="00F60F6B"/>
    <w:rsid w:val="00F874F2"/>
    <w:rsid w:val="00FB1C0B"/>
    <w:rsid w:val="00FD0D02"/>
    <w:rsid w:val="00FD1172"/>
    <w:rsid w:val="00FD503B"/>
    <w:rsid w:val="00FE73F2"/>
    <w:rsid w:val="00FE798B"/>
    <w:rsid w:val="00FF7C16"/>
    <w:rsid w:val="2912115E"/>
    <w:rsid w:val="5813678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0"/>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4">
    <w:name w:val="Default Paragraph Font"/>
    <w:semiHidden/>
    <w:unhideWhenUsed/>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4">
    <w:name w:val="annotation text"/>
    <w:basedOn w:val="1"/>
    <w:link w:val="25"/>
    <w:autoRedefine/>
    <w:unhideWhenUsed/>
    <w:qFormat/>
    <w:uiPriority w:val="99"/>
    <w:pPr>
      <w:jc w:val="left"/>
    </w:pPr>
  </w:style>
  <w:style w:type="paragraph" w:styleId="5">
    <w:name w:val="Body Text Indent"/>
    <w:basedOn w:val="1"/>
    <w:link w:val="27"/>
    <w:autoRedefine/>
    <w:qFormat/>
    <w:uiPriority w:val="0"/>
    <w:pPr>
      <w:widowControl/>
      <w:spacing w:line="360" w:lineRule="auto"/>
      <w:ind w:firstLine="480" w:firstLineChars="200"/>
      <w:jc w:val="left"/>
    </w:pPr>
    <w:rPr>
      <w:rFonts w:ascii="宋体" w:hAnsi="宋体" w:eastAsia="宋体" w:cs="Arial"/>
      <w:kern w:val="0"/>
      <w:sz w:val="24"/>
      <w:szCs w:val="20"/>
    </w:rPr>
  </w:style>
  <w:style w:type="paragraph" w:styleId="6">
    <w:name w:val="Balloon Text"/>
    <w:basedOn w:val="1"/>
    <w:link w:val="24"/>
    <w:autoRedefine/>
    <w:semiHidden/>
    <w:unhideWhenUsed/>
    <w:qFormat/>
    <w:uiPriority w:val="99"/>
    <w:rPr>
      <w:sz w:val="18"/>
      <w:szCs w:val="18"/>
    </w:rPr>
  </w:style>
  <w:style w:type="paragraph" w:styleId="7">
    <w:name w:val="footer"/>
    <w:basedOn w:val="1"/>
    <w:link w:val="23"/>
    <w:autoRedefine/>
    <w:unhideWhenUsed/>
    <w:qFormat/>
    <w:uiPriority w:val="99"/>
    <w:pPr>
      <w:tabs>
        <w:tab w:val="center" w:pos="4153"/>
        <w:tab w:val="right" w:pos="8306"/>
      </w:tabs>
      <w:snapToGrid w:val="0"/>
      <w:jc w:val="left"/>
    </w:pPr>
    <w:rPr>
      <w:sz w:val="18"/>
      <w:szCs w:val="18"/>
    </w:rPr>
  </w:style>
  <w:style w:type="paragraph" w:styleId="8">
    <w:name w:val="header"/>
    <w:basedOn w:val="1"/>
    <w:link w:val="2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autoRedefine/>
    <w:unhideWhenUsed/>
    <w:qFormat/>
    <w:uiPriority w:val="39"/>
    <w:pPr>
      <w:tabs>
        <w:tab w:val="right" w:leader="dot" w:pos="8296"/>
      </w:tabs>
    </w:pPr>
  </w:style>
  <w:style w:type="paragraph" w:styleId="10">
    <w:name w:val="Normal (Web)"/>
    <w:basedOn w:val="1"/>
    <w:autoRedefine/>
    <w:qFormat/>
    <w:uiPriority w:val="99"/>
    <w:pPr>
      <w:widowControl/>
      <w:spacing w:before="100" w:beforeAutospacing="1" w:after="100" w:afterAutospacing="1"/>
      <w:jc w:val="left"/>
    </w:pPr>
    <w:rPr>
      <w:rFonts w:ascii="宋体" w:hAnsi="宋体" w:eastAsia="宋体" w:cs="Arial"/>
      <w:kern w:val="0"/>
      <w:sz w:val="24"/>
      <w:szCs w:val="20"/>
    </w:rPr>
  </w:style>
  <w:style w:type="paragraph" w:styleId="11">
    <w:name w:val="annotation subject"/>
    <w:basedOn w:val="4"/>
    <w:next w:val="4"/>
    <w:link w:val="26"/>
    <w:autoRedefine/>
    <w:semiHidden/>
    <w:unhideWhenUsed/>
    <w:qFormat/>
    <w:uiPriority w:val="99"/>
    <w:rPr>
      <w:b/>
      <w:bCs/>
    </w:rPr>
  </w:style>
  <w:style w:type="table" w:styleId="13">
    <w:name w:val="Table Grid"/>
    <w:basedOn w:val="12"/>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FollowedHyperlink"/>
    <w:basedOn w:val="14"/>
    <w:autoRedefine/>
    <w:semiHidden/>
    <w:unhideWhenUsed/>
    <w:qFormat/>
    <w:uiPriority w:val="99"/>
    <w:rPr>
      <w:color w:val="954F72" w:themeColor="followedHyperlink"/>
      <w:u w:val="single"/>
    </w:rPr>
  </w:style>
  <w:style w:type="character" w:styleId="16">
    <w:name w:val="Hyperlink"/>
    <w:basedOn w:val="14"/>
    <w:autoRedefine/>
    <w:unhideWhenUsed/>
    <w:qFormat/>
    <w:uiPriority w:val="99"/>
    <w:rPr>
      <w:color w:val="0563C1" w:themeColor="hyperlink"/>
      <w:u w:val="single"/>
    </w:rPr>
  </w:style>
  <w:style w:type="character" w:styleId="17">
    <w:name w:val="annotation reference"/>
    <w:basedOn w:val="14"/>
    <w:autoRedefine/>
    <w:semiHidden/>
    <w:unhideWhenUsed/>
    <w:qFormat/>
    <w:uiPriority w:val="99"/>
    <w:rPr>
      <w:sz w:val="21"/>
      <w:szCs w:val="21"/>
    </w:rPr>
  </w:style>
  <w:style w:type="paragraph" w:customStyle="1" w:styleId="18">
    <w:name w:val="Default"/>
    <w:autoRedefine/>
    <w:qFormat/>
    <w:uiPriority w:val="0"/>
    <w:pPr>
      <w:widowControl w:val="0"/>
      <w:autoSpaceDE w:val="0"/>
      <w:autoSpaceDN w:val="0"/>
      <w:adjustRightInd w:val="0"/>
    </w:pPr>
    <w:rPr>
      <w:rFonts w:ascii="宋体" w:eastAsia="宋体" w:cs="宋体" w:hAnsiTheme="minorHAnsi"/>
      <w:color w:val="000000"/>
      <w:kern w:val="0"/>
      <w:sz w:val="24"/>
      <w:szCs w:val="24"/>
      <w:lang w:val="en-US" w:eastAsia="zh-CN" w:bidi="ar-SA"/>
    </w:rPr>
  </w:style>
  <w:style w:type="paragraph" w:styleId="19">
    <w:name w:val="List Paragraph"/>
    <w:basedOn w:val="1"/>
    <w:autoRedefine/>
    <w:qFormat/>
    <w:uiPriority w:val="34"/>
    <w:pPr>
      <w:ind w:firstLine="420" w:firstLineChars="200"/>
    </w:pPr>
  </w:style>
  <w:style w:type="character" w:customStyle="1" w:styleId="20">
    <w:name w:val="标题 1 字符"/>
    <w:basedOn w:val="14"/>
    <w:link w:val="2"/>
    <w:autoRedefine/>
    <w:qFormat/>
    <w:uiPriority w:val="9"/>
    <w:rPr>
      <w:b/>
      <w:bCs/>
      <w:kern w:val="44"/>
      <w:sz w:val="44"/>
      <w:szCs w:val="44"/>
    </w:rPr>
  </w:style>
  <w:style w:type="character" w:customStyle="1" w:styleId="21">
    <w:name w:val="标题 2 字符"/>
    <w:basedOn w:val="14"/>
    <w:link w:val="3"/>
    <w:autoRedefine/>
    <w:qFormat/>
    <w:uiPriority w:val="9"/>
    <w:rPr>
      <w:rFonts w:asciiTheme="majorHAnsi" w:hAnsiTheme="majorHAnsi" w:eastAsiaTheme="majorEastAsia" w:cstheme="majorBidi"/>
      <w:b/>
      <w:bCs/>
      <w:sz w:val="32"/>
      <w:szCs w:val="32"/>
    </w:rPr>
  </w:style>
  <w:style w:type="character" w:customStyle="1" w:styleId="22">
    <w:name w:val="页眉 字符"/>
    <w:basedOn w:val="14"/>
    <w:link w:val="8"/>
    <w:autoRedefine/>
    <w:qFormat/>
    <w:uiPriority w:val="99"/>
    <w:rPr>
      <w:sz w:val="18"/>
      <w:szCs w:val="18"/>
    </w:rPr>
  </w:style>
  <w:style w:type="character" w:customStyle="1" w:styleId="23">
    <w:name w:val="页脚 字符"/>
    <w:basedOn w:val="14"/>
    <w:link w:val="7"/>
    <w:autoRedefine/>
    <w:qFormat/>
    <w:uiPriority w:val="99"/>
    <w:rPr>
      <w:sz w:val="18"/>
      <w:szCs w:val="18"/>
    </w:rPr>
  </w:style>
  <w:style w:type="character" w:customStyle="1" w:styleId="24">
    <w:name w:val="批注框文本 字符"/>
    <w:basedOn w:val="14"/>
    <w:link w:val="6"/>
    <w:autoRedefine/>
    <w:semiHidden/>
    <w:qFormat/>
    <w:uiPriority w:val="99"/>
    <w:rPr>
      <w:sz w:val="18"/>
      <w:szCs w:val="18"/>
    </w:rPr>
  </w:style>
  <w:style w:type="character" w:customStyle="1" w:styleId="25">
    <w:name w:val="批注文字 字符"/>
    <w:basedOn w:val="14"/>
    <w:link w:val="4"/>
    <w:autoRedefine/>
    <w:qFormat/>
    <w:uiPriority w:val="99"/>
  </w:style>
  <w:style w:type="character" w:customStyle="1" w:styleId="26">
    <w:name w:val="批注主题 字符"/>
    <w:basedOn w:val="25"/>
    <w:link w:val="11"/>
    <w:autoRedefine/>
    <w:semiHidden/>
    <w:qFormat/>
    <w:uiPriority w:val="99"/>
    <w:rPr>
      <w:b/>
      <w:bCs/>
    </w:rPr>
  </w:style>
  <w:style w:type="character" w:customStyle="1" w:styleId="27">
    <w:name w:val="正文文本缩进 字符"/>
    <w:basedOn w:val="14"/>
    <w:link w:val="5"/>
    <w:autoRedefine/>
    <w:qFormat/>
    <w:uiPriority w:val="0"/>
    <w:rPr>
      <w:rFonts w:ascii="宋体" w:hAnsi="宋体" w:eastAsia="宋体" w:cs="Arial"/>
      <w:kern w:val="0"/>
      <w:sz w:val="24"/>
      <w:szCs w:val="20"/>
    </w:rPr>
  </w:style>
  <w:style w:type="paragraph" w:customStyle="1" w:styleId="28">
    <w:name w:val="Revision"/>
    <w:autoRedefine/>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29">
    <w:name w:val="TOC Heading"/>
    <w:basedOn w:val="2"/>
    <w:next w:val="1"/>
    <w:autoRedefine/>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496" w:themeColor="accent1" w:themeShade="BF"/>
      <w:kern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Info spid="_x0000_s1025"/>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2C0C50-8CF4-4282-B597-441FD141E777}">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1301</Words>
  <Characters>7418</Characters>
  <Lines>61</Lines>
  <Paragraphs>17</Paragraphs>
  <TotalTime>1059</TotalTime>
  <ScaleCrop>false</ScaleCrop>
  <LinksUpToDate>false</LinksUpToDate>
  <CharactersWithSpaces>8702</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2019-01-17T15:12:00Z</dcterms:created>
  <dc:creator>郭凯璇</dc:creator>
  <cp:lastModifiedBy>Administrator</cp:lastModifiedBy>
  <cp:lastPrinted>2019-01-18T00:47:00Z</cp:lastPrinted>
  <dcterms:modified xsi:type="dcterms:W3CDTF">2024-06-11T06:39:30Z</dcterms:modified>
  <cp:revision>158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0597E9301FDE43059D0134CA72B7F83C_12</vt:lpwstr>
  </property>
</Properties>
</file>