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7"/>
        <w:rPr>
          <w:sz w:val="20"/>
        </w:rPr>
      </w:pPr>
      <w:bookmarkStart w:id="0" w:name="_GoBack"/>
      <w:bookmarkEnd w:id="0"/>
    </w:p>
    <w:p>
      <w:pPr>
        <w:pStyle w:val="5"/>
      </w:pPr>
      <w:r>
        <w:rPr>
          <w:spacing w:val="-1"/>
        </w:rPr>
        <w:t>基金业务印鉴卡</w:t>
      </w:r>
    </w:p>
    <w:p>
      <w:pPr>
        <w:tabs>
          <w:tab w:val="left" w:pos="2769"/>
        </w:tabs>
        <w:spacing w:before="91"/>
        <w:ind w:left="220"/>
        <w:rPr>
          <w:sz w:val="18"/>
        </w:rPr>
      </w:pPr>
      <w:r>
        <w:rPr>
          <w:b/>
          <w:sz w:val="18"/>
        </w:rPr>
        <w:t>业务类型：</w:t>
      </w:r>
      <w:r>
        <w:rPr>
          <w:sz w:val="18"/>
        </w:rPr>
        <w:t>□新增预留印鉴卡</w:t>
      </w:r>
      <w:r>
        <w:rPr>
          <w:sz w:val="18"/>
        </w:rPr>
        <w:tab/>
      </w:r>
      <w:r>
        <w:rPr>
          <w:spacing w:val="-1"/>
          <w:sz w:val="18"/>
        </w:rPr>
        <w:t>□更</w:t>
      </w:r>
      <w:r>
        <w:rPr>
          <w:sz w:val="18"/>
        </w:rPr>
        <w:t>替预留印鉴卡</w:t>
      </w:r>
    </w:p>
    <w:p>
      <w:pPr>
        <w:tabs>
          <w:tab w:val="left" w:pos="3939"/>
          <w:tab w:val="left" w:pos="8797"/>
        </w:tabs>
        <w:spacing w:before="29"/>
        <w:ind w:left="223"/>
        <w:rPr>
          <w:sz w:val="18"/>
        </w:rPr>
      </w:pPr>
      <w:r>
        <w:rPr>
          <w:b/>
          <w:sz w:val="18"/>
        </w:rPr>
        <w:t>本预留印鉴卡是否需要进入备案：</w:t>
      </w:r>
      <w:r>
        <w:rPr>
          <w:sz w:val="18"/>
        </w:rPr>
        <w:t>□否</w:t>
      </w:r>
      <w:r>
        <w:rPr>
          <w:sz w:val="18"/>
        </w:rPr>
        <w:tab/>
      </w:r>
      <w:r>
        <w:rPr>
          <w:sz w:val="18"/>
        </w:rPr>
        <w:t xml:space="preserve">□是（□新增备案  </w:t>
      </w:r>
      <w:r>
        <w:rPr>
          <w:spacing w:val="18"/>
          <w:sz w:val="18"/>
        </w:rPr>
        <w:t xml:space="preserve"> </w:t>
      </w:r>
      <w:r>
        <w:rPr>
          <w:sz w:val="18"/>
        </w:rPr>
        <w:t>□备案编号：</w:t>
      </w:r>
      <w:r>
        <w:rPr>
          <w:rFonts w:ascii="Times New Roman" w:hAnsi="Times New Roman" w:eastAsia="Times New Roman"/>
          <w:sz w:val="18"/>
          <w:u w:val="single"/>
        </w:rPr>
        <w:tab/>
      </w:r>
      <w:r>
        <w:rPr>
          <w:sz w:val="18"/>
        </w:rPr>
        <w:t>）</w:t>
      </w:r>
    </w:p>
    <w:p>
      <w:pPr>
        <w:pStyle w:val="2"/>
        <w:spacing w:before="1" w:after="1"/>
        <w:rPr>
          <w:sz w:val="19"/>
        </w:rPr>
      </w:pPr>
    </w:p>
    <w:tbl>
      <w:tblPr>
        <w:tblStyle w:val="9"/>
        <w:tblW w:w="0" w:type="auto"/>
        <w:tblInd w:w="26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2"/>
        <w:gridCol w:w="3488"/>
        <w:gridCol w:w="1277"/>
        <w:gridCol w:w="34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752" w:type="dxa"/>
            <w:shd w:val="clear" w:color="auto" w:fill="D9D9D9"/>
          </w:tcPr>
          <w:p>
            <w:pPr>
              <w:pStyle w:val="11"/>
              <w:spacing w:before="36" w:line="304" w:lineRule="exact"/>
              <w:ind w:left="10"/>
              <w:jc w:val="center"/>
              <w:rPr>
                <w:b/>
                <w:sz w:val="18"/>
              </w:rPr>
            </w:pPr>
            <w:r>
              <w:rPr>
                <w:b/>
                <w:spacing w:val="-1"/>
                <w:sz w:val="18"/>
              </w:rPr>
              <w:t>机构/产品名称：</w:t>
            </w:r>
          </w:p>
        </w:tc>
        <w:tc>
          <w:tcPr>
            <w:tcW w:w="3488" w:type="dxa"/>
            <w:shd w:val="clear" w:color="auto" w:fill="D9D9D9"/>
          </w:tcPr>
          <w:p>
            <w:pPr>
              <w:pStyle w:val="11"/>
              <w:rPr>
                <w:rFonts w:ascii="Times New Roman"/>
                <w:sz w:val="18"/>
              </w:rPr>
            </w:pPr>
          </w:p>
        </w:tc>
        <w:tc>
          <w:tcPr>
            <w:tcW w:w="1277" w:type="dxa"/>
            <w:shd w:val="clear" w:color="auto" w:fill="D9D9D9"/>
          </w:tcPr>
          <w:p>
            <w:pPr>
              <w:pStyle w:val="11"/>
              <w:spacing w:before="36" w:line="304" w:lineRule="exact"/>
              <w:ind w:left="288"/>
              <w:rPr>
                <w:b/>
                <w:sz w:val="18"/>
              </w:rPr>
            </w:pPr>
            <w:r>
              <w:rPr>
                <w:b/>
                <w:sz w:val="18"/>
              </w:rPr>
              <w:t>交易账号：</w:t>
            </w:r>
          </w:p>
        </w:tc>
        <w:tc>
          <w:tcPr>
            <w:tcW w:w="3416" w:type="dxa"/>
            <w:shd w:val="clear" w:color="auto" w:fill="D9D9D9"/>
          </w:tcPr>
          <w:p>
            <w:pPr>
              <w:pStyle w:val="11"/>
              <w:spacing w:before="38" w:line="301" w:lineRule="exact"/>
              <w:ind w:left="108"/>
              <w:rPr>
                <w:sz w:val="18"/>
              </w:rPr>
            </w:pPr>
            <w:r>
              <w:rPr>
                <w:spacing w:val="1"/>
                <w:sz w:val="18"/>
              </w:rPr>
              <w:t>□新开户免填 □已开户账号：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752" w:type="dxa"/>
            <w:vMerge w:val="restart"/>
          </w:tcPr>
          <w:p>
            <w:pPr>
              <w:pStyle w:val="11"/>
              <w:rPr>
                <w:sz w:val="24"/>
              </w:rPr>
            </w:pPr>
          </w:p>
          <w:p>
            <w:pPr>
              <w:pStyle w:val="11"/>
              <w:rPr>
                <w:sz w:val="24"/>
              </w:rPr>
            </w:pPr>
          </w:p>
          <w:p>
            <w:pPr>
              <w:pStyle w:val="11"/>
              <w:spacing w:before="1"/>
              <w:rPr>
                <w:sz w:val="32"/>
              </w:rPr>
            </w:pPr>
          </w:p>
          <w:p>
            <w:pPr>
              <w:pStyle w:val="11"/>
              <w:spacing w:before="1"/>
              <w:ind w:left="516"/>
              <w:rPr>
                <w:b/>
                <w:sz w:val="18"/>
              </w:rPr>
            </w:pPr>
            <w:r>
              <w:rPr>
                <w:b/>
                <w:sz w:val="18"/>
              </w:rPr>
              <w:t>预留印鉴</w:t>
            </w:r>
          </w:p>
        </w:tc>
        <w:tc>
          <w:tcPr>
            <w:tcW w:w="8181" w:type="dxa"/>
            <w:gridSpan w:val="3"/>
          </w:tcPr>
          <w:p>
            <w:pPr>
              <w:pStyle w:val="11"/>
              <w:tabs>
                <w:tab w:val="left" w:pos="1817"/>
                <w:tab w:val="left" w:pos="5780"/>
                <w:tab w:val="left" w:pos="6589"/>
              </w:tabs>
              <w:spacing w:before="38" w:line="301" w:lineRule="exact"/>
              <w:ind w:left="645"/>
              <w:rPr>
                <w:sz w:val="18"/>
              </w:rPr>
            </w:pPr>
            <w:r>
              <w:rPr>
                <w:sz w:val="18"/>
              </w:rPr>
              <w:t>业务公章</w:t>
            </w:r>
            <w:r>
              <w:rPr>
                <w:rFonts w:ascii="Times New Roman" w:eastAsia="Times New Roman"/>
                <w:sz w:val="18"/>
                <w:u w:val="single"/>
              </w:rPr>
              <w:tab/>
            </w:r>
            <w:r>
              <w:rPr>
                <w:sz w:val="18"/>
              </w:rPr>
              <w:t>枚</w:t>
            </w:r>
            <w:r>
              <w:rPr>
                <w:sz w:val="18"/>
              </w:rPr>
              <w:tab/>
            </w:r>
            <w:r>
              <w:rPr>
                <w:sz w:val="18"/>
              </w:rPr>
              <w:t>私章</w:t>
            </w:r>
            <w:r>
              <w:rPr>
                <w:rFonts w:ascii="Times New Roman" w:eastAsia="Times New Roman"/>
                <w:sz w:val="18"/>
                <w:u w:val="single"/>
              </w:rPr>
              <w:tab/>
            </w:r>
            <w:r>
              <w:rPr>
                <w:sz w:val="18"/>
              </w:rPr>
              <w:t>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6" w:hRule="atLeast"/>
        </w:trPr>
        <w:tc>
          <w:tcPr>
            <w:tcW w:w="1752" w:type="dxa"/>
            <w:vMerge w:val="continue"/>
            <w:tcBorders>
              <w:top w:val="nil"/>
            </w:tcBorders>
          </w:tcPr>
          <w:p>
            <w:pPr>
              <w:rPr>
                <w:sz w:val="2"/>
                <w:szCs w:val="2"/>
              </w:rPr>
            </w:pPr>
          </w:p>
        </w:tc>
        <w:tc>
          <w:tcPr>
            <w:tcW w:w="8181" w:type="dxa"/>
            <w:gridSpan w:val="3"/>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1752" w:type="dxa"/>
          </w:tcPr>
          <w:p>
            <w:pPr>
              <w:pStyle w:val="11"/>
              <w:spacing w:before="216"/>
              <w:ind w:left="8"/>
              <w:jc w:val="center"/>
              <w:rPr>
                <w:b/>
                <w:sz w:val="18"/>
              </w:rPr>
            </w:pPr>
            <w:r>
              <w:rPr>
                <w:b/>
                <w:spacing w:val="-1"/>
                <w:sz w:val="18"/>
              </w:rPr>
              <w:t>授权范围：</w:t>
            </w:r>
          </w:p>
        </w:tc>
        <w:tc>
          <w:tcPr>
            <w:tcW w:w="8181" w:type="dxa"/>
            <w:gridSpan w:val="3"/>
          </w:tcPr>
          <w:p>
            <w:pPr>
              <w:pStyle w:val="11"/>
              <w:tabs>
                <w:tab w:val="left" w:pos="1663"/>
              </w:tabs>
              <w:spacing w:before="38"/>
              <w:ind w:left="108"/>
              <w:rPr>
                <w:sz w:val="18"/>
              </w:rPr>
            </w:pPr>
            <w:r>
              <w:rPr>
                <w:sz w:val="18"/>
              </w:rPr>
              <w:t>□账户类业务</w:t>
            </w:r>
            <w:r>
              <w:rPr>
                <w:sz w:val="18"/>
              </w:rPr>
              <w:tab/>
            </w:r>
            <w:r>
              <w:rPr>
                <w:sz w:val="18"/>
              </w:rPr>
              <w:t>□交易类业务</w:t>
            </w:r>
          </w:p>
          <w:p>
            <w:pPr>
              <w:pStyle w:val="11"/>
              <w:spacing w:before="28" w:line="301" w:lineRule="exact"/>
              <w:ind w:left="108"/>
              <w:rPr>
                <w:sz w:val="18"/>
              </w:rPr>
            </w:pPr>
            <w:r>
              <w:rPr>
                <w:sz w:val="18"/>
              </w:rPr>
              <w:t>上述预留公章和私章各选一枚同时使用方为有效授权，具有法律效力。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752" w:type="dxa"/>
            <w:shd w:val="clear" w:color="auto" w:fill="BEBEBE"/>
          </w:tcPr>
          <w:p>
            <w:pPr>
              <w:pStyle w:val="11"/>
              <w:tabs>
                <w:tab w:val="left" w:pos="543"/>
              </w:tabs>
              <w:spacing w:before="38" w:line="304" w:lineRule="exact"/>
              <w:ind w:left="5"/>
              <w:jc w:val="center"/>
              <w:rPr>
                <w:b/>
                <w:sz w:val="18"/>
              </w:rPr>
            </w:pPr>
            <w:r>
              <w:rPr>
                <w:b/>
                <w:sz w:val="18"/>
              </w:rPr>
              <w:t>声</w:t>
            </w:r>
            <w:r>
              <w:rPr>
                <w:b/>
                <w:sz w:val="18"/>
              </w:rPr>
              <w:tab/>
            </w:r>
            <w:r>
              <w:rPr>
                <w:b/>
                <w:sz w:val="18"/>
              </w:rPr>
              <w:t>明：</w:t>
            </w:r>
          </w:p>
        </w:tc>
        <w:tc>
          <w:tcPr>
            <w:tcW w:w="8181" w:type="dxa"/>
            <w:gridSpan w:val="3"/>
            <w:shd w:val="clear" w:color="auto" w:fill="BEBEBE"/>
          </w:tcPr>
          <w:p>
            <w:pPr>
              <w:pStyle w:val="11"/>
              <w:spacing w:before="41" w:line="301" w:lineRule="exact"/>
              <w:ind w:left="108"/>
              <w:rPr>
                <w:sz w:val="18"/>
              </w:rPr>
            </w:pPr>
            <w:r>
              <w:rPr>
                <w:sz w:val="18"/>
              </w:rPr>
              <w:t>本印鉴作为办理基金业务的专用印鉴，在提请更换印鉴之前，以上印鉴始终有效。</w:t>
            </w:r>
          </w:p>
        </w:tc>
      </w:tr>
    </w:tbl>
    <w:p>
      <w:pPr>
        <w:pStyle w:val="2"/>
        <w:rPr>
          <w:sz w:val="20"/>
        </w:rPr>
      </w:pPr>
    </w:p>
    <w:p>
      <w:pPr>
        <w:pStyle w:val="2"/>
        <w:spacing w:before="14"/>
        <w:rPr>
          <w:sz w:val="16"/>
        </w:rPr>
      </w:pPr>
    </w:p>
    <w:p>
      <w:pPr>
        <w:spacing w:before="37"/>
        <w:ind w:left="3652" w:right="3668"/>
        <w:jc w:val="center"/>
        <w:rPr>
          <w:b/>
          <w:sz w:val="24"/>
        </w:rPr>
      </w:pPr>
      <w:r>
        <w:rPr>
          <w:b/>
          <w:sz w:val="24"/>
        </w:rPr>
        <w:t>关于基金业务印鉴卡使用说明</w:t>
      </w:r>
    </w:p>
    <w:p>
      <w:pPr>
        <w:pStyle w:val="10"/>
        <w:numPr>
          <w:ilvl w:val="0"/>
          <w:numId w:val="1"/>
        </w:numPr>
        <w:tabs>
          <w:tab w:val="left" w:pos="370"/>
        </w:tabs>
        <w:spacing w:before="95" w:line="225" w:lineRule="auto"/>
        <w:ind w:left="131" w:right="146" w:firstLine="0"/>
        <w:jc w:val="both"/>
        <w:rPr>
          <w:sz w:val="18"/>
        </w:rPr>
      </w:pPr>
      <w:r>
        <w:rPr>
          <w:sz w:val="18"/>
        </w:rPr>
        <w:t>机构投资者在办理预留印鉴卡后办理所有基金账户和交易（基金账户开户除外）均以指定印鉴为有效签章，该印鉴具有完全的</w:t>
      </w:r>
      <w:r>
        <w:rPr>
          <w:spacing w:val="-2"/>
          <w:sz w:val="18"/>
        </w:rPr>
        <w:t>法律效力。所有盖有指定印鉴的表单和文件都代表了机构投资者本单位的真实意思表示，其产生的一切法律责任均由机构投资者自</w:t>
      </w:r>
      <w:r>
        <w:rPr>
          <w:sz w:val="18"/>
        </w:rPr>
        <w:t>行承担。</w:t>
      </w:r>
    </w:p>
    <w:p>
      <w:pPr>
        <w:pStyle w:val="10"/>
        <w:numPr>
          <w:ilvl w:val="0"/>
          <w:numId w:val="1"/>
        </w:numPr>
        <w:tabs>
          <w:tab w:val="left" w:pos="370"/>
        </w:tabs>
        <w:spacing w:line="308" w:lineRule="exact"/>
        <w:ind w:left="369" w:hanging="239"/>
        <w:jc w:val="both"/>
        <w:rPr>
          <w:sz w:val="18"/>
        </w:rPr>
      </w:pPr>
      <w:r>
        <w:rPr>
          <w:sz w:val="18"/>
        </w:rPr>
        <w:t>本基金业务印鉴卡自签署之日起生效，有效期至本单位提交新的印签卡或办理销户后终止。</w:t>
      </w:r>
    </w:p>
    <w:p>
      <w:pPr>
        <w:pStyle w:val="10"/>
        <w:numPr>
          <w:ilvl w:val="0"/>
          <w:numId w:val="1"/>
        </w:numPr>
        <w:tabs>
          <w:tab w:val="left" w:pos="370"/>
        </w:tabs>
        <w:spacing w:line="322" w:lineRule="exact"/>
        <w:ind w:left="369" w:hanging="239"/>
        <w:jc w:val="both"/>
        <w:rPr>
          <w:sz w:val="18"/>
        </w:rPr>
      </w:pPr>
      <w:r>
        <w:rPr>
          <w:sz w:val="18"/>
        </w:rPr>
        <w:t>本基金业务印鉴卡指定的印章发生变更时，机构投资者须及时办理变更手续。</w:t>
      </w:r>
    </w:p>
    <w:p>
      <w:pPr>
        <w:pStyle w:val="2"/>
        <w:rPr>
          <w:sz w:val="24"/>
        </w:rPr>
      </w:pPr>
    </w:p>
    <w:p>
      <w:pPr>
        <w:pStyle w:val="2"/>
        <w:spacing w:before="11"/>
        <w:rPr>
          <w:sz w:val="25"/>
        </w:rPr>
      </w:pPr>
    </w:p>
    <w:p>
      <w:pPr>
        <w:ind w:left="131"/>
        <w:rPr>
          <w:b/>
          <w:sz w:val="18"/>
        </w:rPr>
      </w:pPr>
      <w:r>
        <w:rPr>
          <w:b/>
          <w:sz w:val="18"/>
        </w:rPr>
        <w:t>机构公章：</w:t>
      </w:r>
    </w:p>
    <w:p>
      <w:pPr>
        <w:pStyle w:val="2"/>
        <w:spacing w:before="14"/>
        <w:rPr>
          <w:b/>
          <w:sz w:val="32"/>
        </w:rPr>
      </w:pPr>
    </w:p>
    <w:p>
      <w:pPr>
        <w:spacing w:before="1"/>
        <w:ind w:left="131"/>
        <w:rPr>
          <w:b/>
          <w:sz w:val="18"/>
        </w:rPr>
      </w:pPr>
      <w:r>
        <w:rPr>
          <w:b/>
          <w:sz w:val="18"/>
        </w:rPr>
        <w:t>法定代表人签章：</w:t>
      </w:r>
    </w:p>
    <w:p>
      <w:pPr>
        <w:pStyle w:val="2"/>
        <w:spacing w:before="14"/>
        <w:rPr>
          <w:b/>
          <w:sz w:val="32"/>
        </w:rPr>
      </w:pPr>
    </w:p>
    <w:p>
      <w:pPr>
        <w:tabs>
          <w:tab w:val="left" w:pos="2289"/>
          <w:tab w:val="left" w:pos="3281"/>
          <w:tab w:val="left" w:pos="4181"/>
        </w:tabs>
        <w:ind w:left="131"/>
        <w:rPr>
          <w:sz w:val="18"/>
        </w:rPr>
      </w:pPr>
      <w:r>
        <w:rPr>
          <w:b/>
          <w:sz w:val="18"/>
        </w:rPr>
        <w:t>签署日期：</w:t>
      </w:r>
      <w:r>
        <w:rPr>
          <w:b/>
          <w:sz w:val="18"/>
        </w:rPr>
        <w:tab/>
      </w:r>
      <w:r>
        <w:rPr>
          <w:sz w:val="18"/>
        </w:rPr>
        <w:t>年</w:t>
      </w:r>
      <w:r>
        <w:rPr>
          <w:sz w:val="18"/>
        </w:rPr>
        <w:tab/>
      </w:r>
      <w:r>
        <w:rPr>
          <w:sz w:val="18"/>
        </w:rPr>
        <w:t>月</w:t>
      </w:r>
      <w:r>
        <w:rPr>
          <w:sz w:val="18"/>
        </w:rPr>
        <w:tab/>
      </w:r>
      <w:r>
        <w:rPr>
          <w:sz w:val="18"/>
        </w:rPr>
        <w:t>日</w:t>
      </w:r>
    </w:p>
    <w:p>
      <w:pPr>
        <w:pStyle w:val="2"/>
        <w:rPr>
          <w:sz w:val="20"/>
        </w:rPr>
      </w:pPr>
    </w:p>
    <w:p>
      <w:pPr>
        <w:pStyle w:val="2"/>
        <w:spacing w:before="18"/>
        <w:rPr>
          <w:sz w:val="29"/>
        </w:rPr>
      </w:pPr>
    </w:p>
    <w:p>
      <w:pPr>
        <w:pStyle w:val="3"/>
      </w:pPr>
      <w:r>
        <w:rPr>
          <w:rFonts w:hint="eastAsia"/>
        </w:rPr>
        <w:t>公司地址：中国上海市浦东新区银城路1</w:t>
      </w:r>
      <w:r>
        <w:t>16</w:t>
      </w:r>
      <w:r>
        <w:rPr>
          <w:rFonts w:hint="eastAsia"/>
        </w:rPr>
        <w:t xml:space="preserve">号大华银行大厦7楼 </w:t>
      </w:r>
      <w:r>
        <w:t xml:space="preserve">                                                                  </w:t>
      </w:r>
    </w:p>
    <w:p>
      <w:pPr>
        <w:pStyle w:val="3"/>
      </w:pPr>
      <w:r>
        <w:rPr>
          <w:rFonts w:hint="eastAsia"/>
        </w:rPr>
        <w:t>公司网址：</w:t>
      </w:r>
      <w:r>
        <w:fldChar w:fldCharType="begin"/>
      </w:r>
      <w:r>
        <w:instrText xml:space="preserve"> HYPERLINK "http://www.pyfunds.cn" </w:instrText>
      </w:r>
      <w:r>
        <w:fldChar w:fldCharType="separate"/>
      </w:r>
      <w:r>
        <w:rPr>
          <w:rStyle w:val="8"/>
          <w:rFonts w:hint="eastAsia"/>
          <w:lang w:eastAsia="zh-CN"/>
        </w:rPr>
        <w:t>www.weonefunds.com</w:t>
      </w:r>
      <w:r>
        <w:rPr>
          <w:rStyle w:val="8"/>
        </w:rPr>
        <w:fldChar w:fldCharType="end"/>
      </w:r>
      <w:r>
        <w:t xml:space="preserve">           </w:t>
      </w:r>
      <w:r>
        <w:rPr>
          <w:rFonts w:hint="eastAsia"/>
        </w:rPr>
        <w:t>公司电话：0</w:t>
      </w:r>
      <w:r>
        <w:t>21</w:t>
      </w:r>
      <w:r>
        <w:rPr>
          <w:rFonts w:hint="eastAsia"/>
        </w:rPr>
        <w:t>-</w:t>
      </w:r>
      <w:r>
        <w:t>68889082</w:t>
      </w:r>
    </w:p>
    <w:p>
      <w:pPr>
        <w:pStyle w:val="2"/>
        <w:tabs>
          <w:tab w:val="left" w:pos="7804"/>
        </w:tabs>
        <w:spacing w:before="53"/>
        <w:ind w:left="132"/>
      </w:pPr>
    </w:p>
    <w:sectPr>
      <w:headerReference r:id="rId3" w:type="default"/>
      <w:type w:val="continuous"/>
      <w:pgSz w:w="11900" w:h="16850"/>
      <w:pgMar w:top="900" w:right="700" w:bottom="280" w:left="7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rPr>
        <w:rFonts w:hint="eastAsia"/>
      </w:rPr>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91EEC"/>
    <w:multiLevelType w:val="multilevel"/>
    <w:tmpl w:val="07E91EEC"/>
    <w:lvl w:ilvl="0" w:tentative="0">
      <w:start w:val="1"/>
      <w:numFmt w:val="decimal"/>
      <w:lvlText w:val="%1."/>
      <w:lvlJc w:val="left"/>
      <w:pPr>
        <w:ind w:left="132" w:hanging="238"/>
        <w:jc w:val="left"/>
      </w:pPr>
      <w:rPr>
        <w:rFonts w:hint="default" w:ascii="微软雅黑" w:hAnsi="微软雅黑" w:eastAsia="微软雅黑" w:cs="微软雅黑"/>
        <w:b w:val="0"/>
        <w:bCs w:val="0"/>
        <w:i w:val="0"/>
        <w:iCs w:val="0"/>
        <w:spacing w:val="-1"/>
        <w:w w:val="100"/>
        <w:sz w:val="18"/>
        <w:szCs w:val="18"/>
        <w:lang w:val="en-US" w:eastAsia="zh-CN" w:bidi="ar-SA"/>
      </w:rPr>
    </w:lvl>
    <w:lvl w:ilvl="1" w:tentative="0">
      <w:start w:val="0"/>
      <w:numFmt w:val="bullet"/>
      <w:lvlText w:val="•"/>
      <w:lvlJc w:val="left"/>
      <w:pPr>
        <w:ind w:left="1173" w:hanging="238"/>
      </w:pPr>
      <w:rPr>
        <w:rFonts w:hint="default"/>
        <w:lang w:val="en-US" w:eastAsia="zh-CN" w:bidi="ar-SA"/>
      </w:rPr>
    </w:lvl>
    <w:lvl w:ilvl="2" w:tentative="0">
      <w:start w:val="0"/>
      <w:numFmt w:val="bullet"/>
      <w:lvlText w:val="•"/>
      <w:lvlJc w:val="left"/>
      <w:pPr>
        <w:ind w:left="2207" w:hanging="238"/>
      </w:pPr>
      <w:rPr>
        <w:rFonts w:hint="default"/>
        <w:lang w:val="en-US" w:eastAsia="zh-CN" w:bidi="ar-SA"/>
      </w:rPr>
    </w:lvl>
    <w:lvl w:ilvl="3" w:tentative="0">
      <w:start w:val="0"/>
      <w:numFmt w:val="bullet"/>
      <w:lvlText w:val="•"/>
      <w:lvlJc w:val="left"/>
      <w:pPr>
        <w:ind w:left="3241" w:hanging="238"/>
      </w:pPr>
      <w:rPr>
        <w:rFonts w:hint="default"/>
        <w:lang w:val="en-US" w:eastAsia="zh-CN" w:bidi="ar-SA"/>
      </w:rPr>
    </w:lvl>
    <w:lvl w:ilvl="4" w:tentative="0">
      <w:start w:val="0"/>
      <w:numFmt w:val="bullet"/>
      <w:lvlText w:val="•"/>
      <w:lvlJc w:val="left"/>
      <w:pPr>
        <w:ind w:left="4275" w:hanging="238"/>
      </w:pPr>
      <w:rPr>
        <w:rFonts w:hint="default"/>
        <w:lang w:val="en-US" w:eastAsia="zh-CN" w:bidi="ar-SA"/>
      </w:rPr>
    </w:lvl>
    <w:lvl w:ilvl="5" w:tentative="0">
      <w:start w:val="0"/>
      <w:numFmt w:val="bullet"/>
      <w:lvlText w:val="•"/>
      <w:lvlJc w:val="left"/>
      <w:pPr>
        <w:ind w:left="5309" w:hanging="238"/>
      </w:pPr>
      <w:rPr>
        <w:rFonts w:hint="default"/>
        <w:lang w:val="en-US" w:eastAsia="zh-CN" w:bidi="ar-SA"/>
      </w:rPr>
    </w:lvl>
    <w:lvl w:ilvl="6" w:tentative="0">
      <w:start w:val="0"/>
      <w:numFmt w:val="bullet"/>
      <w:lvlText w:val="•"/>
      <w:lvlJc w:val="left"/>
      <w:pPr>
        <w:ind w:left="6343" w:hanging="238"/>
      </w:pPr>
      <w:rPr>
        <w:rFonts w:hint="default"/>
        <w:lang w:val="en-US" w:eastAsia="zh-CN" w:bidi="ar-SA"/>
      </w:rPr>
    </w:lvl>
    <w:lvl w:ilvl="7" w:tentative="0">
      <w:start w:val="0"/>
      <w:numFmt w:val="bullet"/>
      <w:lvlText w:val="•"/>
      <w:lvlJc w:val="left"/>
      <w:pPr>
        <w:ind w:left="7377" w:hanging="238"/>
      </w:pPr>
      <w:rPr>
        <w:rFonts w:hint="default"/>
        <w:lang w:val="en-US" w:eastAsia="zh-CN" w:bidi="ar-SA"/>
      </w:rPr>
    </w:lvl>
    <w:lvl w:ilvl="8" w:tentative="0">
      <w:start w:val="0"/>
      <w:numFmt w:val="bullet"/>
      <w:lvlText w:val="•"/>
      <w:lvlJc w:val="left"/>
      <w:pPr>
        <w:ind w:left="8411" w:hanging="238"/>
      </w:pPr>
      <w:rPr>
        <w:rFonts w:hint="default"/>
        <w:lang w:val="en-US" w:eastAsia="zh-CN"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commondata" w:val="eyJoZGlkIjoiOWVjMDA5NTM5OGE1NDQzNDRkYWIwOWYxYTAzZjYyNTYifQ=="/>
  </w:docVars>
  <w:rsids>
    <w:rsidRoot w:val="00B23FED"/>
    <w:rsid w:val="005F5065"/>
    <w:rsid w:val="007D6729"/>
    <w:rsid w:val="00B23FED"/>
    <w:rsid w:val="00B40BA0"/>
    <w:rsid w:val="5F356B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微软雅黑" w:hAnsi="微软雅黑" w:eastAsia="微软雅黑" w:cs="微软雅黑"/>
      <w:sz w:val="22"/>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rPr>
      <w:sz w:val="18"/>
      <w:szCs w:val="18"/>
    </w:rPr>
  </w:style>
  <w:style w:type="paragraph" w:styleId="3">
    <w:name w:val="footer"/>
    <w:basedOn w:val="1"/>
    <w:link w:val="13"/>
    <w:unhideWhenUsed/>
    <w:uiPriority w:val="99"/>
    <w:pPr>
      <w:tabs>
        <w:tab w:val="center" w:pos="4153"/>
        <w:tab w:val="right" w:pos="8306"/>
      </w:tabs>
      <w:snapToGrid w:val="0"/>
    </w:pPr>
    <w:rPr>
      <w:sz w:val="18"/>
      <w:szCs w:val="18"/>
    </w:rPr>
  </w:style>
  <w:style w:type="paragraph" w:styleId="4">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qFormat/>
    <w:uiPriority w:val="10"/>
    <w:pPr>
      <w:spacing w:before="27"/>
      <w:ind w:left="3652" w:right="3663"/>
      <w:jc w:val="center"/>
    </w:pPr>
    <w:rPr>
      <w:b/>
      <w:bCs/>
      <w:sz w:val="28"/>
      <w:szCs w:val="28"/>
    </w:rPr>
  </w:style>
  <w:style w:type="character" w:styleId="8">
    <w:name w:val="Hyperlink"/>
    <w:basedOn w:val="7"/>
    <w:unhideWhenUsed/>
    <w:uiPriority w:val="99"/>
    <w:rPr>
      <w:color w:val="0000FF" w:themeColor="hyperlink"/>
      <w:u w:val="single"/>
      <w14:textFill>
        <w14:solidFill>
          <w14:schemeClr w14:val="hlink"/>
        </w14:solidFill>
      </w14:textFill>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pPr>
      <w:ind w:left="369" w:hanging="239"/>
      <w:jc w:val="both"/>
    </w:pPr>
  </w:style>
  <w:style w:type="paragraph" w:customStyle="1" w:styleId="11">
    <w:name w:val="Table Paragraph"/>
    <w:basedOn w:val="1"/>
    <w:qFormat/>
    <w:uiPriority w:val="1"/>
  </w:style>
  <w:style w:type="character" w:customStyle="1" w:styleId="12">
    <w:name w:val="页眉 字符"/>
    <w:basedOn w:val="7"/>
    <w:link w:val="4"/>
    <w:uiPriority w:val="99"/>
    <w:rPr>
      <w:rFonts w:ascii="微软雅黑" w:hAnsi="微软雅黑" w:eastAsia="微软雅黑" w:cs="微软雅黑"/>
      <w:sz w:val="18"/>
      <w:szCs w:val="18"/>
      <w:lang w:eastAsia="zh-CN"/>
    </w:rPr>
  </w:style>
  <w:style w:type="character" w:customStyle="1" w:styleId="13">
    <w:name w:val="页脚 字符"/>
    <w:basedOn w:val="7"/>
    <w:link w:val="3"/>
    <w:uiPriority w:val="99"/>
    <w:rPr>
      <w:rFonts w:ascii="微软雅黑" w:hAnsi="微软雅黑" w:eastAsia="微软雅黑" w:cs="微软雅黑"/>
      <w:sz w:val="18"/>
      <w:szCs w:val="18"/>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96</Words>
  <Characters>553</Characters>
  <Lines>4</Lines>
  <Paragraphs>1</Paragraphs>
  <TotalTime>3</TotalTime>
  <ScaleCrop>false</ScaleCrop>
  <LinksUpToDate>false</LinksUpToDate>
  <CharactersWithSpaces>648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2021-12-23T09:30:00Z</dcterms:created>
  <dc:creator>YUNART5</dc:creator>
  <cp:lastModifiedBy>郭凯璇</cp:lastModifiedBy>
  <dcterms:modified xsi:type="dcterms:W3CDTF">2024-04-19T01:36:11Z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2021-12-23T00:00:00Z</vt:filetime>
  </property>
  <property fmtid="{D5CDD505-2E9C-101B-9397-08002B2CF9AE}" pid="5" name="KSOProductBuildVer">
    <vt:lpwstr>2052-12.1.0.16729</vt:lpwstr>
  </property>
  <property fmtid="{D5CDD505-2E9C-101B-9397-08002B2CF9AE}" pid="6" name="ICV">
    <vt:lpwstr>0EF29BBF46DC44A498AC31998404194B_12</vt:lpwstr>
  </property>
</Properties>
</file>